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4CA8" w14:textId="3D69A8DB" w:rsidR="00EB1851" w:rsidRPr="007A280E" w:rsidRDefault="00EB1851" w:rsidP="00743956">
      <w:pPr>
        <w:keepNext/>
        <w:keepLines/>
        <w:rPr>
          <w:snapToGrid w:val="0"/>
        </w:rPr>
      </w:pPr>
      <w:r w:rsidRPr="007A280E">
        <w:rPr>
          <w:snapToGrid w:val="0"/>
        </w:rPr>
        <w:t xml:space="preserve">Subject:  </w:t>
      </w:r>
      <w:r w:rsidR="005D6081">
        <w:rPr>
          <w:snapToGrid w:val="0"/>
        </w:rPr>
        <w:t xml:space="preserve">FILER’S LAST NAME, Review of </w:t>
      </w:r>
      <w:r w:rsidR="004064DD">
        <w:rPr>
          <w:snapToGrid w:val="0"/>
        </w:rPr>
        <w:t>Financial Disclosure Report &amp; Guidance</w:t>
      </w:r>
      <w:r w:rsidR="00AC36F9">
        <w:rPr>
          <w:snapToGrid w:val="0"/>
        </w:rPr>
        <w:t xml:space="preserve"> </w:t>
      </w:r>
    </w:p>
    <w:p w14:paraId="7D9BB154" w14:textId="4314F127" w:rsidR="00992411" w:rsidRDefault="00992411" w:rsidP="00743956">
      <w:pPr>
        <w:keepNext/>
        <w:keepLines/>
        <w:rPr>
          <w:snapToGrid w:val="0"/>
        </w:rPr>
      </w:pPr>
    </w:p>
    <w:p w14:paraId="317B80DF" w14:textId="5179F417" w:rsidR="005D6081" w:rsidRDefault="005D6081" w:rsidP="00743956">
      <w:pPr>
        <w:keepNext/>
        <w:keepLines/>
        <w:rPr>
          <w:snapToGrid w:val="0"/>
        </w:rPr>
      </w:pPr>
    </w:p>
    <w:p w14:paraId="173BE2B7" w14:textId="6A90EFCC" w:rsidR="005D6081" w:rsidRDefault="005D6081" w:rsidP="00743956">
      <w:pPr>
        <w:keepNext/>
        <w:keepLines/>
        <w:rPr>
          <w:snapToGrid w:val="0"/>
        </w:rPr>
      </w:pPr>
      <w:r w:rsidRPr="005D6081">
        <w:rPr>
          <w:snapToGrid w:val="0"/>
        </w:rPr>
        <w:t xml:space="preserve">Thank you for submitting your </w:t>
      </w:r>
      <w:r w:rsidR="004064DD">
        <w:rPr>
          <w:snapToGrid w:val="0"/>
        </w:rPr>
        <w:t>[YEAR] Financial Disclosure Report.</w:t>
      </w:r>
      <w:r w:rsidRPr="005D6081">
        <w:rPr>
          <w:snapToGrid w:val="0"/>
        </w:rPr>
        <w:t xml:space="preserve">    </w:t>
      </w:r>
    </w:p>
    <w:p w14:paraId="5ED104C8" w14:textId="77777777" w:rsidR="005D6081" w:rsidRPr="007A280E" w:rsidRDefault="005D6081" w:rsidP="00743956">
      <w:pPr>
        <w:keepNext/>
        <w:keepLines/>
        <w:rPr>
          <w:snapToGrid w:val="0"/>
        </w:rPr>
      </w:pPr>
    </w:p>
    <w:p w14:paraId="58EEDDB9" w14:textId="3731990A" w:rsidR="00743956" w:rsidRDefault="00743956" w:rsidP="00743956">
      <w:pPr>
        <w:keepNext/>
        <w:keepLines/>
        <w:rPr>
          <w:snapToGrid w:val="0"/>
        </w:rPr>
      </w:pPr>
      <w:r w:rsidRPr="00743956">
        <w:rPr>
          <w:snapToGrid w:val="0"/>
        </w:rPr>
        <w:t xml:space="preserve">This email is </w:t>
      </w:r>
      <w:r w:rsidRPr="004064DD">
        <w:rPr>
          <w:snapToGrid w:val="0"/>
        </w:rPr>
        <w:t xml:space="preserve">to </w:t>
      </w:r>
      <w:r w:rsidRPr="004B6CED">
        <w:rPr>
          <w:snapToGrid w:val="0"/>
        </w:rPr>
        <w:t>alert</w:t>
      </w:r>
      <w:r w:rsidRPr="004064DD">
        <w:rPr>
          <w:snapToGrid w:val="0"/>
        </w:rPr>
        <w:t xml:space="preserve"> you to </w:t>
      </w:r>
      <w:r w:rsidR="00D73901" w:rsidRPr="004064DD">
        <w:rPr>
          <w:snapToGrid w:val="0"/>
        </w:rPr>
        <w:t>any</w:t>
      </w:r>
      <w:r w:rsidRPr="004064DD">
        <w:rPr>
          <w:snapToGrid w:val="0"/>
        </w:rPr>
        <w:t xml:space="preserve"> </w:t>
      </w:r>
      <w:r w:rsidRPr="004B6CED">
        <w:rPr>
          <w:snapToGrid w:val="0"/>
        </w:rPr>
        <w:t>potential</w:t>
      </w:r>
      <w:r w:rsidRPr="004064DD">
        <w:rPr>
          <w:snapToGrid w:val="0"/>
        </w:rPr>
        <w:t xml:space="preserve"> </w:t>
      </w:r>
      <w:r w:rsidR="004B6CED">
        <w:rPr>
          <w:snapToGrid w:val="0"/>
        </w:rPr>
        <w:t xml:space="preserve">ethics issues identified during our review of your report, including </w:t>
      </w:r>
      <w:r w:rsidRPr="004064DD">
        <w:rPr>
          <w:snapToGrid w:val="0"/>
        </w:rPr>
        <w:t>conflicts</w:t>
      </w:r>
      <w:r w:rsidRPr="00743956">
        <w:rPr>
          <w:snapToGrid w:val="0"/>
        </w:rPr>
        <w:t xml:space="preserve"> of interest between your duties as a </w:t>
      </w:r>
      <w:proofErr w:type="gramStart"/>
      <w:r w:rsidRPr="00743956">
        <w:rPr>
          <w:snapToGrid w:val="0"/>
        </w:rPr>
        <w:t>Government</w:t>
      </w:r>
      <w:proofErr w:type="gramEnd"/>
      <w:r w:rsidRPr="00743956">
        <w:rPr>
          <w:snapToGrid w:val="0"/>
        </w:rPr>
        <w:t xml:space="preserve"> official and your actual or imputed financial interests and affiliations.   A criminal conflict of interest arises when you are asked to participate personally and substantially in a particular matter that will have a direct and predictable effect on the financial interests of you, your spouse, your </w:t>
      </w:r>
      <w:r w:rsidR="00532A74">
        <w:rPr>
          <w:snapToGrid w:val="0"/>
        </w:rPr>
        <w:t xml:space="preserve">minor </w:t>
      </w:r>
      <w:r w:rsidRPr="00743956">
        <w:rPr>
          <w:snapToGrid w:val="0"/>
        </w:rPr>
        <w:t xml:space="preserve">child(ren), </w:t>
      </w:r>
      <w:r w:rsidR="004B6CED">
        <w:rPr>
          <w:snapToGrid w:val="0"/>
        </w:rPr>
        <w:t xml:space="preserve">a </w:t>
      </w:r>
      <w:r w:rsidR="00532A74">
        <w:rPr>
          <w:snapToGrid w:val="0"/>
        </w:rPr>
        <w:t>general partner,</w:t>
      </w:r>
      <w:r w:rsidRPr="00743956">
        <w:rPr>
          <w:snapToGrid w:val="0"/>
        </w:rPr>
        <w:t xml:space="preserve"> any organization in which you serve as an officer, director, trustee, general partner</w:t>
      </w:r>
      <w:r w:rsidR="004B6CED">
        <w:rPr>
          <w:snapToGrid w:val="0"/>
        </w:rPr>
        <w:t>,</w:t>
      </w:r>
      <w:r w:rsidRPr="00743956">
        <w:rPr>
          <w:snapToGrid w:val="0"/>
        </w:rPr>
        <w:t xml:space="preserve"> or current/prospective employe</w:t>
      </w:r>
      <w:r w:rsidR="004B6CED">
        <w:rPr>
          <w:snapToGrid w:val="0"/>
        </w:rPr>
        <w:t>r</w:t>
      </w:r>
      <w:r w:rsidRPr="00743956">
        <w:rPr>
          <w:snapToGrid w:val="0"/>
        </w:rPr>
        <w:t>.  Federal</w:t>
      </w:r>
      <w:r w:rsidR="00532A74">
        <w:rPr>
          <w:snapToGrid w:val="0"/>
        </w:rPr>
        <w:t xml:space="preserve"> ethics</w:t>
      </w:r>
      <w:r w:rsidRPr="00743956">
        <w:rPr>
          <w:snapToGrid w:val="0"/>
        </w:rPr>
        <w:t xml:space="preserve"> regulations also prohibit your participation in particular matters involving parties with whom you have </w:t>
      </w:r>
      <w:r>
        <w:rPr>
          <w:snapToGrid w:val="0"/>
        </w:rPr>
        <w:t xml:space="preserve">or have had </w:t>
      </w:r>
      <w:r w:rsidRPr="00743956">
        <w:rPr>
          <w:snapToGrid w:val="0"/>
        </w:rPr>
        <w:t>a personal or business relationship that may give rise to questions concerning your impartiality in the matter</w:t>
      </w:r>
      <w:r w:rsidR="005D217E">
        <w:rPr>
          <w:snapToGrid w:val="0"/>
        </w:rPr>
        <w:t xml:space="preserve"> unless you first obtain written authorization</w:t>
      </w:r>
      <w:r w:rsidRPr="00743956">
        <w:rPr>
          <w:snapToGrid w:val="0"/>
        </w:rPr>
        <w:t>.</w:t>
      </w:r>
    </w:p>
    <w:p w14:paraId="5EBCE5EF" w14:textId="77777777" w:rsidR="00743956" w:rsidRDefault="00743956" w:rsidP="00743956">
      <w:pPr>
        <w:keepNext/>
        <w:keepLines/>
        <w:rPr>
          <w:snapToGrid w:val="0"/>
        </w:rPr>
      </w:pPr>
    </w:p>
    <w:p w14:paraId="0FCDF8F7" w14:textId="3FBE7AEC" w:rsidR="00743956" w:rsidRPr="002816ED" w:rsidRDefault="002816ED" w:rsidP="00743956">
      <w:pPr>
        <w:keepNext/>
        <w:keepLines/>
        <w:rPr>
          <w:b/>
          <w:i/>
          <w:snapToGrid w:val="0"/>
          <w:color w:val="FF0000"/>
        </w:rPr>
      </w:pPr>
      <w:r w:rsidRPr="002816ED">
        <w:rPr>
          <w:b/>
          <w:snapToGrid w:val="0"/>
          <w:color w:val="FF0000"/>
        </w:rPr>
        <w:t>[</w:t>
      </w:r>
      <w:r w:rsidRPr="002816ED">
        <w:rPr>
          <w:b/>
          <w:i/>
          <w:snapToGrid w:val="0"/>
          <w:color w:val="FF0000"/>
        </w:rPr>
        <w:t xml:space="preserve">For Reviewers: This template covers a variety </w:t>
      </w:r>
      <w:r w:rsidR="006A1779">
        <w:rPr>
          <w:b/>
          <w:i/>
          <w:snapToGrid w:val="0"/>
          <w:color w:val="FF0000"/>
        </w:rPr>
        <w:t xml:space="preserve">of </w:t>
      </w:r>
      <w:r w:rsidR="00D144F1">
        <w:rPr>
          <w:b/>
          <w:i/>
          <w:snapToGrid w:val="0"/>
          <w:color w:val="FF0000"/>
        </w:rPr>
        <w:t xml:space="preserve">common </w:t>
      </w:r>
      <w:r w:rsidRPr="002816ED">
        <w:rPr>
          <w:b/>
          <w:i/>
          <w:snapToGrid w:val="0"/>
          <w:color w:val="FF0000"/>
        </w:rPr>
        <w:t>issues, as indicated by the italicized headings in brackets – you can remove inapplicable sections as necessary/appropriate.</w:t>
      </w:r>
      <w:r w:rsidR="00D144F1">
        <w:rPr>
          <w:b/>
          <w:i/>
          <w:snapToGrid w:val="0"/>
          <w:color w:val="FF0000"/>
        </w:rPr>
        <w:t xml:space="preserve"> This template does not cover every possible issue – reviewers should add specific topics as appropriate.</w:t>
      </w:r>
      <w:r w:rsidRPr="002816ED">
        <w:rPr>
          <w:b/>
          <w:i/>
          <w:snapToGrid w:val="0"/>
          <w:color w:val="FF0000"/>
        </w:rPr>
        <w:t>]</w:t>
      </w:r>
    </w:p>
    <w:p w14:paraId="6BD4C7DC" w14:textId="77777777" w:rsidR="00743956" w:rsidRDefault="00743956" w:rsidP="00743956">
      <w:pPr>
        <w:keepNext/>
        <w:keepLines/>
        <w:rPr>
          <w:snapToGrid w:val="0"/>
        </w:rPr>
      </w:pPr>
    </w:p>
    <w:p w14:paraId="5D044299" w14:textId="6F81F0A4" w:rsidR="005D217E" w:rsidRDefault="00743956" w:rsidP="005D217E">
      <w:pPr>
        <w:rPr>
          <w:snapToGrid w:val="0"/>
        </w:rPr>
      </w:pPr>
      <w:r w:rsidRPr="002816ED">
        <w:rPr>
          <w:snapToGrid w:val="0"/>
          <w:color w:val="FF0000"/>
        </w:rPr>
        <w:t>[</w:t>
      </w:r>
      <w:r w:rsidR="00284D05" w:rsidRPr="00284D05">
        <w:rPr>
          <w:i/>
          <w:snapToGrid w:val="0"/>
          <w:color w:val="FF0000"/>
        </w:rPr>
        <w:t>Stocks/Equity Interests, including</w:t>
      </w:r>
      <w:r w:rsidR="00284D05">
        <w:rPr>
          <w:snapToGrid w:val="0"/>
          <w:color w:val="FF0000"/>
        </w:rPr>
        <w:t xml:space="preserve"> </w:t>
      </w:r>
      <w:r w:rsidRPr="002816ED">
        <w:rPr>
          <w:i/>
          <w:snapToGrid w:val="0"/>
          <w:color w:val="FF0000"/>
        </w:rPr>
        <w:t xml:space="preserve">Defense Contractor </w:t>
      </w:r>
      <w:r w:rsidR="002F5C11">
        <w:rPr>
          <w:i/>
          <w:snapToGrid w:val="0"/>
          <w:color w:val="FF0000"/>
        </w:rPr>
        <w:t>Interests</w:t>
      </w:r>
      <w:r w:rsidRPr="002816ED">
        <w:rPr>
          <w:snapToGrid w:val="0"/>
          <w:color w:val="FF0000"/>
        </w:rPr>
        <w:t>]</w:t>
      </w:r>
      <w:r>
        <w:rPr>
          <w:snapToGrid w:val="0"/>
        </w:rPr>
        <w:t xml:space="preserve"> A review of </w:t>
      </w:r>
      <w:r w:rsidR="007A280E">
        <w:rPr>
          <w:snapToGrid w:val="0"/>
        </w:rPr>
        <w:t xml:space="preserve">your </w:t>
      </w:r>
      <w:r w:rsidR="00992411" w:rsidRPr="007A280E">
        <w:rPr>
          <w:snapToGrid w:val="0"/>
        </w:rPr>
        <w:t>completed Financial Disclosure Report</w:t>
      </w:r>
      <w:r w:rsidR="007A280E">
        <w:rPr>
          <w:snapToGrid w:val="0"/>
        </w:rPr>
        <w:t xml:space="preserve"> reveal</w:t>
      </w:r>
      <w:r>
        <w:rPr>
          <w:snapToGrid w:val="0"/>
        </w:rPr>
        <w:t>s t</w:t>
      </w:r>
      <w:r w:rsidR="007A280E" w:rsidRPr="007A280E">
        <w:rPr>
          <w:snapToGrid w:val="0"/>
        </w:rPr>
        <w:t>hat you have actual or imp</w:t>
      </w:r>
      <w:r w:rsidR="00706E0C">
        <w:rPr>
          <w:snapToGrid w:val="0"/>
        </w:rPr>
        <w:t>uted financial interest</w:t>
      </w:r>
      <w:r w:rsidR="007A280E" w:rsidRPr="007A280E">
        <w:rPr>
          <w:snapToGrid w:val="0"/>
        </w:rPr>
        <w:t xml:space="preserve"> in </w:t>
      </w:r>
      <w:r w:rsidR="00706E0C">
        <w:rPr>
          <w:snapToGrid w:val="0"/>
        </w:rPr>
        <w:t xml:space="preserve">securities, to include stock in at least one </w:t>
      </w:r>
      <w:r w:rsidRPr="00743956">
        <w:rPr>
          <w:snapToGrid w:val="0"/>
        </w:rPr>
        <w:t>Defense contractor</w:t>
      </w:r>
      <w:r w:rsidR="00EF368E" w:rsidRPr="00EF368E">
        <w:t xml:space="preserve"> </w:t>
      </w:r>
      <w:r w:rsidR="00EF368E" w:rsidRPr="00EF368E">
        <w:rPr>
          <w:snapToGrid w:val="0"/>
        </w:rPr>
        <w:t>including but not limited to the following: __________________</w:t>
      </w:r>
      <w:r w:rsidR="00706E0C">
        <w:rPr>
          <w:snapToGrid w:val="0"/>
        </w:rPr>
        <w:t xml:space="preserve">.  </w:t>
      </w:r>
      <w:r w:rsidR="00D46AA7">
        <w:rPr>
          <w:snapToGrid w:val="0"/>
        </w:rPr>
        <w:t>For your reference, a</w:t>
      </w:r>
      <w:r w:rsidRPr="00743956">
        <w:rPr>
          <w:snapToGrid w:val="0"/>
        </w:rPr>
        <w:t xml:space="preserve"> list of DoD contractors can be found at</w:t>
      </w:r>
      <w:r w:rsidR="00804C39" w:rsidRPr="00804C39">
        <w:t xml:space="preserve"> </w:t>
      </w:r>
      <w:hyperlink r:id="rId8" w:history="1">
        <w:r w:rsidR="00D95194" w:rsidRPr="00B8256E">
          <w:rPr>
            <w:rStyle w:val="Hyperlink"/>
          </w:rPr>
          <w:t>https://dodsoco.ogc.osd.mil/ETHICS-TOPICS/Conflicts-of-Interest/</w:t>
        </w:r>
      </w:hyperlink>
      <w:r w:rsidR="00D95194">
        <w:rPr>
          <w:snapToGrid w:val="0"/>
        </w:rPr>
        <w:t xml:space="preserve">.  </w:t>
      </w:r>
      <w:r w:rsidR="002816ED" w:rsidRPr="002816ED">
        <w:rPr>
          <w:snapToGrid w:val="0"/>
        </w:rPr>
        <w:t>Note that t</w:t>
      </w:r>
      <w:r w:rsidR="002816ED">
        <w:rPr>
          <w:snapToGrid w:val="0"/>
        </w:rPr>
        <w:t>his</w:t>
      </w:r>
      <w:r w:rsidR="002816ED" w:rsidRPr="002816ED">
        <w:rPr>
          <w:snapToGrid w:val="0"/>
        </w:rPr>
        <w:t xml:space="preserve"> list only represents a "snapshot" in time and is not exhaustive.</w:t>
      </w:r>
      <w:r w:rsidR="00706E0C">
        <w:rPr>
          <w:snapToGrid w:val="0"/>
        </w:rPr>
        <w:t xml:space="preserve">  </w:t>
      </w:r>
      <w:r w:rsidR="00284D05" w:rsidRPr="00526C12">
        <w:rPr>
          <w:b/>
          <w:bCs/>
          <w:snapToGrid w:val="0"/>
        </w:rPr>
        <w:t xml:space="preserve">Additionally, </w:t>
      </w:r>
      <w:r w:rsidR="00872EC8" w:rsidRPr="00526C12">
        <w:rPr>
          <w:b/>
          <w:bCs/>
          <w:snapToGrid w:val="0"/>
        </w:rPr>
        <w:t>DoD contractors are not the only entities that may pose conflicts</w:t>
      </w:r>
      <w:r w:rsidR="004064DD" w:rsidRPr="00526C12">
        <w:rPr>
          <w:b/>
          <w:bCs/>
          <w:snapToGrid w:val="0"/>
        </w:rPr>
        <w:t>,</w:t>
      </w:r>
      <w:r w:rsidR="00872EC8" w:rsidRPr="00526C12">
        <w:rPr>
          <w:b/>
          <w:bCs/>
          <w:snapToGrid w:val="0"/>
        </w:rPr>
        <w:t xml:space="preserve"> and it is your responsibility to monitor your financial interests throughout the year</w:t>
      </w:r>
      <w:r w:rsidR="004064DD" w:rsidRPr="00526C12">
        <w:rPr>
          <w:b/>
          <w:bCs/>
          <w:snapToGrid w:val="0"/>
        </w:rPr>
        <w:t xml:space="preserve"> for any potential conflict with your official duties</w:t>
      </w:r>
      <w:r w:rsidR="00872EC8" w:rsidRPr="00526C12">
        <w:rPr>
          <w:b/>
          <w:bCs/>
          <w:snapToGrid w:val="0"/>
        </w:rPr>
        <w:t>.</w:t>
      </w:r>
      <w:r w:rsidR="00284D05">
        <w:rPr>
          <w:snapToGrid w:val="0"/>
        </w:rPr>
        <w:t xml:space="preserve">  </w:t>
      </w:r>
      <w:r w:rsidR="00014FC2" w:rsidRPr="00014FC2">
        <w:rPr>
          <w:snapToGrid w:val="0"/>
        </w:rPr>
        <w:t>If you</w:t>
      </w:r>
      <w:r w:rsidR="004064DD">
        <w:rPr>
          <w:snapToGrid w:val="0"/>
        </w:rPr>
        <w:t xml:space="preserve">, your spouse, and/or your dependent child collectively </w:t>
      </w:r>
      <w:r w:rsidR="00014FC2" w:rsidRPr="00014FC2">
        <w:rPr>
          <w:snapToGrid w:val="0"/>
        </w:rPr>
        <w:t xml:space="preserve">own more than $15,000 </w:t>
      </w:r>
      <w:r w:rsidR="00014FC2">
        <w:rPr>
          <w:snapToGrid w:val="0"/>
        </w:rPr>
        <w:t xml:space="preserve">of stock in any entity, you have a conflict of interest </w:t>
      </w:r>
      <w:r w:rsidR="004064DD">
        <w:rPr>
          <w:snapToGrid w:val="0"/>
        </w:rPr>
        <w:t xml:space="preserve">related to </w:t>
      </w:r>
      <w:r w:rsidR="00014FC2">
        <w:rPr>
          <w:snapToGrid w:val="0"/>
        </w:rPr>
        <w:t xml:space="preserve">that entity.  </w:t>
      </w:r>
      <w:r w:rsidR="002816ED">
        <w:rPr>
          <w:snapToGrid w:val="0"/>
        </w:rPr>
        <w:t>I</w:t>
      </w:r>
      <w:r w:rsidR="002816ED" w:rsidRPr="002816ED">
        <w:rPr>
          <w:snapToGrid w:val="0"/>
        </w:rPr>
        <w:t>f you</w:t>
      </w:r>
      <w:r w:rsidR="002816ED">
        <w:rPr>
          <w:snapToGrid w:val="0"/>
        </w:rPr>
        <w:t>r duties would require you to participate in matters involving or affecting</w:t>
      </w:r>
      <w:r w:rsidR="002816ED" w:rsidRPr="002816ED">
        <w:rPr>
          <w:snapToGrid w:val="0"/>
        </w:rPr>
        <w:t xml:space="preserve"> ANY entity in which you have an actual or imputed financial interest, you must inform your supervisor</w:t>
      </w:r>
      <w:r w:rsidR="002816ED">
        <w:rPr>
          <w:snapToGrid w:val="0"/>
        </w:rPr>
        <w:t xml:space="preserve"> </w:t>
      </w:r>
      <w:r w:rsidR="00D35ED4">
        <w:rPr>
          <w:snapToGrid w:val="0"/>
        </w:rPr>
        <w:t>and</w:t>
      </w:r>
      <w:r w:rsidR="002816ED">
        <w:rPr>
          <w:snapToGrid w:val="0"/>
        </w:rPr>
        <w:t xml:space="preserve"> our office</w:t>
      </w:r>
      <w:r w:rsidR="006961CF">
        <w:rPr>
          <w:snapToGrid w:val="0"/>
        </w:rPr>
        <w:t xml:space="preserve"> </w:t>
      </w:r>
      <w:r w:rsidR="002816ED">
        <w:rPr>
          <w:snapToGrid w:val="0"/>
        </w:rPr>
        <w:t xml:space="preserve">before </w:t>
      </w:r>
      <w:r w:rsidR="005D217E">
        <w:rPr>
          <w:snapToGrid w:val="0"/>
        </w:rPr>
        <w:t>participating in the matter</w:t>
      </w:r>
      <w:r w:rsidR="002816ED" w:rsidRPr="002816ED">
        <w:rPr>
          <w:snapToGrid w:val="0"/>
        </w:rPr>
        <w:t xml:space="preserve">.  </w:t>
      </w:r>
    </w:p>
    <w:p w14:paraId="077BD535" w14:textId="77777777" w:rsidR="005D217E" w:rsidRDefault="005D217E" w:rsidP="005D217E">
      <w:pPr>
        <w:rPr>
          <w:snapToGrid w:val="0"/>
        </w:rPr>
      </w:pPr>
    </w:p>
    <w:p w14:paraId="34AEFBC4" w14:textId="77777777" w:rsidR="00562B8C" w:rsidRDefault="00562B8C" w:rsidP="005D217E">
      <w:pPr>
        <w:rPr>
          <w:snapToGrid w:val="0"/>
        </w:rPr>
      </w:pPr>
      <w:r>
        <w:rPr>
          <w:snapToGrid w:val="0"/>
        </w:rPr>
        <w:t>[</w:t>
      </w:r>
      <w:r>
        <w:rPr>
          <w:i/>
          <w:snapToGrid w:val="0"/>
          <w:color w:val="FF0000"/>
        </w:rPr>
        <w:t>Holding Companies</w:t>
      </w:r>
      <w:r w:rsidRPr="00B2734F">
        <w:rPr>
          <w:snapToGrid w:val="0"/>
        </w:rPr>
        <w:t xml:space="preserve">] </w:t>
      </w:r>
      <w:r w:rsidR="0069409C" w:rsidRPr="0069409C">
        <w:rPr>
          <w:snapToGrid w:val="0"/>
        </w:rPr>
        <w:t xml:space="preserve">If you own more than $15,000 in a company whose business is to invest in or own other entities, please note that you have a potential conflict of interest not only with the parent company, but with any entities in which the parent company holds a controlling interest.  </w:t>
      </w:r>
      <w:r>
        <w:rPr>
          <w:snapToGrid w:val="0"/>
        </w:rPr>
        <w:t xml:space="preserve">For example, if you own shares in Berkshire Hathaway (BH), you have a potential conflict of interest with any company in which BH holds a controlling interest.  </w:t>
      </w:r>
      <w:r w:rsidR="00B2734F">
        <w:rPr>
          <w:snapToGrid w:val="0"/>
        </w:rPr>
        <w:t>It is the employee’s responsibility to monitor such holdings and avoid participating in matters where a conflict of interest exists.</w:t>
      </w:r>
    </w:p>
    <w:p w14:paraId="608DC548" w14:textId="1645DB6E" w:rsidR="00014FC2" w:rsidRDefault="00014FC2" w:rsidP="00014FC2">
      <w:pPr>
        <w:rPr>
          <w:snapToGrid w:val="0"/>
        </w:rPr>
      </w:pPr>
    </w:p>
    <w:p w14:paraId="573C5DB3" w14:textId="3E02CA96" w:rsidR="00497388" w:rsidRPr="00D06D7F" w:rsidRDefault="00497388" w:rsidP="00497388">
      <w:r>
        <w:rPr>
          <w:snapToGrid w:val="0"/>
        </w:rPr>
        <w:t>[</w:t>
      </w:r>
      <w:r w:rsidRPr="00050D27">
        <w:rPr>
          <w:i/>
          <w:snapToGrid w:val="0"/>
          <w:color w:val="FF0000"/>
        </w:rPr>
        <w:t>Sector Mutual Funds</w:t>
      </w:r>
      <w:r>
        <w:rPr>
          <w:snapToGrid w:val="0"/>
        </w:rPr>
        <w:t xml:space="preserve">] </w:t>
      </w:r>
      <w:r w:rsidR="00F35CA3">
        <w:t>I note</w:t>
      </w:r>
      <w:r w:rsidRPr="00D06D7F">
        <w:t xml:space="preserve"> that you </w:t>
      </w:r>
      <w:r>
        <w:t xml:space="preserve">reported a financial interest in </w:t>
      </w:r>
      <w:r w:rsidRPr="00426896">
        <w:rPr>
          <w:snapToGrid w:val="0"/>
        </w:rPr>
        <w:t>at least one sector mutual fund</w:t>
      </w:r>
      <w:r>
        <w:rPr>
          <w:snapToGrid w:val="0"/>
        </w:rPr>
        <w:t xml:space="preserve"> (MF) or sector exchange traded fund (ETF), including but not </w:t>
      </w:r>
      <w:r w:rsidRPr="00426896">
        <w:rPr>
          <w:snapToGrid w:val="0"/>
        </w:rPr>
        <w:t>limited to the following:</w:t>
      </w:r>
      <w:r w:rsidR="00F35CA3">
        <w:rPr>
          <w:snapToGrid w:val="0"/>
        </w:rPr>
        <w:t xml:space="preserve"> </w:t>
      </w:r>
      <w:r>
        <w:rPr>
          <w:snapToGrid w:val="0"/>
        </w:rPr>
        <w:t>__________________</w:t>
      </w:r>
      <w:r w:rsidRPr="00426896">
        <w:rPr>
          <w:snapToGrid w:val="0"/>
        </w:rPr>
        <w:t xml:space="preserve">.  </w:t>
      </w:r>
      <w:r>
        <w:rPr>
          <w:snapToGrid w:val="0"/>
        </w:rPr>
        <w:t xml:space="preserve"> </w:t>
      </w:r>
      <w:r w:rsidR="004064DD">
        <w:t xml:space="preserve">If your cumulative </w:t>
      </w:r>
      <w:r w:rsidR="00E10088">
        <w:t xml:space="preserve">fund </w:t>
      </w:r>
      <w:r w:rsidR="004064DD">
        <w:t xml:space="preserve">holdings in any </w:t>
      </w:r>
      <w:r w:rsidR="00E10088">
        <w:t xml:space="preserve">one </w:t>
      </w:r>
      <w:r w:rsidR="004064DD">
        <w:t xml:space="preserve">sector exceed $50,000, then you have a conflict of interest related to any company held within those </w:t>
      </w:r>
      <w:r w:rsidR="00E10088">
        <w:t xml:space="preserve">sector </w:t>
      </w:r>
      <w:r w:rsidR="004064DD">
        <w:t xml:space="preserve">funds, except companies that are outside of the stated sector. For example, if you hold interests in pharmaceutical sector funds valued greater than $50,000, you have a conflict with </w:t>
      </w:r>
      <w:r w:rsidR="00E10088">
        <w:t>each</w:t>
      </w:r>
      <w:r w:rsidR="004064DD">
        <w:t xml:space="preserve"> pharmaceutical company held within those funds, but not with </w:t>
      </w:r>
      <w:r w:rsidR="00E10088">
        <w:t xml:space="preserve">an energy company held within the fund.    </w:t>
      </w:r>
    </w:p>
    <w:p w14:paraId="10FFC2C9" w14:textId="3EE058DC" w:rsidR="00497388" w:rsidRDefault="00497388" w:rsidP="00014FC2">
      <w:pPr>
        <w:rPr>
          <w:snapToGrid w:val="0"/>
        </w:rPr>
      </w:pPr>
    </w:p>
    <w:p w14:paraId="3FBDC078" w14:textId="6D8D9F8C" w:rsidR="00497388" w:rsidRDefault="00497388" w:rsidP="00014FC2">
      <w:pPr>
        <w:rPr>
          <w:snapToGrid w:val="0"/>
        </w:rPr>
      </w:pPr>
    </w:p>
    <w:p w14:paraId="39D6554A" w14:textId="7E5FE8CE" w:rsidR="00014FC2" w:rsidRPr="00014FC2" w:rsidRDefault="00014FC2" w:rsidP="00014FC2">
      <w:pPr>
        <w:rPr>
          <w:snapToGrid w:val="0"/>
        </w:rPr>
      </w:pPr>
      <w:r>
        <w:rPr>
          <w:snapToGrid w:val="0"/>
        </w:rPr>
        <w:t>[</w:t>
      </w:r>
      <w:r w:rsidRPr="00014FC2">
        <w:rPr>
          <w:i/>
          <w:snapToGrid w:val="0"/>
          <w:color w:val="FF0000"/>
        </w:rPr>
        <w:t xml:space="preserve">Application of </w:t>
      </w:r>
      <w:r>
        <w:rPr>
          <w:i/>
          <w:snapToGrid w:val="0"/>
          <w:color w:val="FF0000"/>
        </w:rPr>
        <w:t>E</w:t>
      </w:r>
      <w:r w:rsidRPr="00014FC2">
        <w:rPr>
          <w:i/>
          <w:snapToGrid w:val="0"/>
          <w:color w:val="FF0000"/>
        </w:rPr>
        <w:t>xemptions</w:t>
      </w:r>
      <w:r>
        <w:rPr>
          <w:snapToGrid w:val="0"/>
        </w:rPr>
        <w:t>]</w:t>
      </w:r>
      <w:r w:rsidRPr="00014FC2">
        <w:rPr>
          <w:snapToGrid w:val="0"/>
        </w:rPr>
        <w:t xml:space="preserve"> Federal </w:t>
      </w:r>
      <w:r w:rsidR="00E10088">
        <w:rPr>
          <w:snapToGrid w:val="0"/>
        </w:rPr>
        <w:t xml:space="preserve">ethics </w:t>
      </w:r>
      <w:r w:rsidRPr="00014FC2">
        <w:rPr>
          <w:snapToGrid w:val="0"/>
        </w:rPr>
        <w:t>regulations provide exemptions for ownership of sector mutual funds, sector unit investment trusts, and publicly traded securities valued at or below a certain threshold “de minimis” amount.  As of the date of this notice, those amounts are:</w:t>
      </w:r>
    </w:p>
    <w:p w14:paraId="6E92D491" w14:textId="77777777" w:rsidR="00014FC2" w:rsidRPr="00014FC2" w:rsidRDefault="00014FC2" w:rsidP="00014FC2">
      <w:pPr>
        <w:rPr>
          <w:snapToGrid w:val="0"/>
        </w:rPr>
      </w:pPr>
    </w:p>
    <w:p w14:paraId="11F1B2F8" w14:textId="77777777" w:rsidR="00014FC2" w:rsidRPr="00014FC2" w:rsidRDefault="00014FC2" w:rsidP="00014FC2">
      <w:pPr>
        <w:ind w:left="720" w:hanging="360"/>
        <w:rPr>
          <w:snapToGrid w:val="0"/>
        </w:rPr>
      </w:pPr>
      <w:r>
        <w:rPr>
          <w:snapToGrid w:val="0"/>
        </w:rPr>
        <w:t>1</w:t>
      </w:r>
      <w:r w:rsidRPr="00014FC2">
        <w:rPr>
          <w:snapToGrid w:val="0"/>
        </w:rPr>
        <w:t>.</w:t>
      </w:r>
      <w:r w:rsidRPr="00014FC2">
        <w:rPr>
          <w:snapToGrid w:val="0"/>
        </w:rPr>
        <w:tab/>
        <w:t>For sector fund funds and sector unit investment trusts:  $50,000 (aggregated for all funds/trusts that concentrate in the same sector)</w:t>
      </w:r>
    </w:p>
    <w:p w14:paraId="006B83FA" w14:textId="594F9551" w:rsidR="00014FC2" w:rsidRPr="00014FC2" w:rsidRDefault="00014FC2" w:rsidP="00014FC2">
      <w:pPr>
        <w:ind w:left="720" w:hanging="360"/>
        <w:rPr>
          <w:snapToGrid w:val="0"/>
        </w:rPr>
      </w:pPr>
      <w:r>
        <w:rPr>
          <w:snapToGrid w:val="0"/>
        </w:rPr>
        <w:t>2</w:t>
      </w:r>
      <w:r w:rsidRPr="00014FC2">
        <w:rPr>
          <w:snapToGrid w:val="0"/>
        </w:rPr>
        <w:t>.</w:t>
      </w:r>
      <w:r w:rsidRPr="00014FC2">
        <w:rPr>
          <w:snapToGrid w:val="0"/>
        </w:rPr>
        <w:tab/>
        <w:t>For publicly traded securities:  $15,000</w:t>
      </w:r>
      <w:r w:rsidR="001813BF">
        <w:rPr>
          <w:snapToGrid w:val="0"/>
        </w:rPr>
        <w:t xml:space="preserve"> (party matters)</w:t>
      </w:r>
      <w:r w:rsidRPr="00014FC2">
        <w:rPr>
          <w:snapToGrid w:val="0"/>
        </w:rPr>
        <w:t>.</w:t>
      </w:r>
    </w:p>
    <w:p w14:paraId="37B2C3EB" w14:textId="77777777" w:rsidR="00014FC2" w:rsidRPr="00014FC2" w:rsidRDefault="00014FC2" w:rsidP="00014FC2">
      <w:pPr>
        <w:rPr>
          <w:snapToGrid w:val="0"/>
        </w:rPr>
      </w:pPr>
    </w:p>
    <w:p w14:paraId="6012EDC1" w14:textId="5AD23A5A" w:rsidR="00426896" w:rsidRDefault="00014FC2" w:rsidP="00014FC2">
      <w:pPr>
        <w:rPr>
          <w:snapToGrid w:val="0"/>
        </w:rPr>
      </w:pPr>
      <w:r w:rsidRPr="00014FC2">
        <w:rPr>
          <w:snapToGrid w:val="0"/>
        </w:rPr>
        <w:t xml:space="preserve">Note that you must consult with ethics </w:t>
      </w:r>
      <w:r w:rsidR="00E10088">
        <w:rPr>
          <w:snapToGrid w:val="0"/>
        </w:rPr>
        <w:t xml:space="preserve">officials </w:t>
      </w:r>
      <w:r w:rsidRPr="00014FC2">
        <w:rPr>
          <w:snapToGrid w:val="0"/>
        </w:rPr>
        <w:t xml:space="preserve">concerning applicability of these exemptions and these amounts are subject to change at any time.  Also, reliance on these exemptions requires close monitoring of asset values.  </w:t>
      </w:r>
      <w:r w:rsidRPr="00014FC2">
        <w:rPr>
          <w:b/>
          <w:snapToGrid w:val="0"/>
        </w:rPr>
        <w:t>WARNING</w:t>
      </w:r>
      <w:r w:rsidRPr="00014FC2">
        <w:rPr>
          <w:snapToGrid w:val="0"/>
        </w:rPr>
        <w:t xml:space="preserve">:  If at any time you participate in a matter impacting your financial interest and the asset value at that time exceeds the de minimis amount, you will have violated the criminal conflict of interest statute.  </w:t>
      </w:r>
    </w:p>
    <w:p w14:paraId="5137F32F" w14:textId="77777777" w:rsidR="00014FC2" w:rsidRPr="00426896" w:rsidRDefault="00014FC2" w:rsidP="00014FC2">
      <w:pPr>
        <w:rPr>
          <w:snapToGrid w:val="0"/>
        </w:rPr>
      </w:pPr>
    </w:p>
    <w:p w14:paraId="26AD2D5D" w14:textId="1C0C6EBE" w:rsidR="007864BF" w:rsidRDefault="007864BF" w:rsidP="007864BF">
      <w:pPr>
        <w:rPr>
          <w:snapToGrid w:val="0"/>
        </w:rPr>
      </w:pPr>
      <w:r w:rsidRPr="007864BF">
        <w:rPr>
          <w:snapToGrid w:val="0"/>
        </w:rPr>
        <w:t>[</w:t>
      </w:r>
      <w:r w:rsidRPr="004B6CED">
        <w:rPr>
          <w:i/>
          <w:iCs/>
          <w:snapToGrid w:val="0"/>
          <w:color w:val="FF0000"/>
        </w:rPr>
        <w:t>Former Employer/client</w:t>
      </w:r>
      <w:r w:rsidRPr="007864BF">
        <w:rPr>
          <w:snapToGrid w:val="0"/>
        </w:rPr>
        <w:t xml:space="preserve">] </w:t>
      </w:r>
      <w:r w:rsidR="004B6CED">
        <w:rPr>
          <w:snapToGrid w:val="0"/>
        </w:rPr>
        <w:t>I note</w:t>
      </w:r>
      <w:r w:rsidRPr="007864BF">
        <w:rPr>
          <w:snapToGrid w:val="0"/>
        </w:rPr>
        <w:t xml:space="preserve"> that you reported that, within the last year, you served as an officer, director, trustee, general partner, employee, agent, attorney, consultant, or contractor with the following non-federal entity: ______________________.  </w:t>
      </w:r>
      <w:r w:rsidR="001F6AA9">
        <w:rPr>
          <w:snapToGrid w:val="0"/>
        </w:rPr>
        <w:t>F</w:t>
      </w:r>
      <w:r w:rsidRPr="007864BF">
        <w:rPr>
          <w:snapToGrid w:val="0"/>
        </w:rPr>
        <w:t xml:space="preserve">or one year after serving in that position, you may not participate in matters in which </w:t>
      </w:r>
      <w:r w:rsidR="004B6CED">
        <w:rPr>
          <w:snapToGrid w:val="0"/>
        </w:rPr>
        <w:t>that entity</w:t>
      </w:r>
      <w:r w:rsidRPr="007864BF">
        <w:rPr>
          <w:snapToGrid w:val="0"/>
        </w:rPr>
        <w:t xml:space="preserve"> is or represents a party, unless you first receive written authorization. IAW 5 CFR § 2635.502.  This restriction applies to all employees in the Executive Branch.</w:t>
      </w:r>
    </w:p>
    <w:p w14:paraId="1E4D4697" w14:textId="77777777" w:rsidR="007864BF" w:rsidRPr="007864BF" w:rsidRDefault="007864BF" w:rsidP="007864BF">
      <w:pPr>
        <w:rPr>
          <w:snapToGrid w:val="0"/>
        </w:rPr>
      </w:pPr>
    </w:p>
    <w:p w14:paraId="1FC8A588" w14:textId="3A7561B9" w:rsidR="005D217E" w:rsidRDefault="007864BF" w:rsidP="005D217E">
      <w:pPr>
        <w:rPr>
          <w:snapToGrid w:val="0"/>
        </w:rPr>
      </w:pPr>
      <w:r w:rsidRPr="007864BF">
        <w:rPr>
          <w:snapToGrid w:val="0"/>
        </w:rPr>
        <w:t xml:space="preserve">Employees of the Department of </w:t>
      </w:r>
      <w:r>
        <w:rPr>
          <w:snapToGrid w:val="0"/>
        </w:rPr>
        <w:t>Defense</w:t>
      </w:r>
      <w:r w:rsidRPr="007864BF">
        <w:rPr>
          <w:snapToGrid w:val="0"/>
        </w:rPr>
        <w:t xml:space="preserve"> and its agencies are subject to an additional restriction. </w:t>
      </w:r>
      <w:r w:rsidR="004B6CED">
        <w:rPr>
          <w:snapToGrid w:val="0"/>
        </w:rPr>
        <w:t xml:space="preserve">For two years after serving as an </w:t>
      </w:r>
      <w:r w:rsidR="004B6CED" w:rsidRPr="004B6CED">
        <w:rPr>
          <w:snapToGrid w:val="0"/>
        </w:rPr>
        <w:t>employee, officer,</w:t>
      </w:r>
      <w:r w:rsidR="004B6CED">
        <w:rPr>
          <w:snapToGrid w:val="0"/>
        </w:rPr>
        <w:t xml:space="preserve"> </w:t>
      </w:r>
      <w:r w:rsidR="004B6CED" w:rsidRPr="004B6CED">
        <w:rPr>
          <w:snapToGrid w:val="0"/>
        </w:rPr>
        <w:t>director, trustee, or general partner</w:t>
      </w:r>
      <w:r w:rsidRPr="007864BF">
        <w:rPr>
          <w:snapToGrid w:val="0"/>
        </w:rPr>
        <w:t xml:space="preserve"> </w:t>
      </w:r>
      <w:r w:rsidR="004B6CED">
        <w:rPr>
          <w:snapToGrid w:val="0"/>
        </w:rPr>
        <w:t xml:space="preserve">with a non-Federal entity, </w:t>
      </w:r>
      <w:r>
        <w:rPr>
          <w:snapToGrid w:val="0"/>
        </w:rPr>
        <w:t>DoD</w:t>
      </w:r>
      <w:r w:rsidRPr="007864BF">
        <w:rPr>
          <w:snapToGrid w:val="0"/>
        </w:rPr>
        <w:t xml:space="preserve"> employees are prohibited from participating personally and substantially in a particular matter involving specific parties where </w:t>
      </w:r>
      <w:r w:rsidR="005C55EF">
        <w:rPr>
          <w:snapToGrid w:val="0"/>
        </w:rPr>
        <w:t>that</w:t>
      </w:r>
      <w:r w:rsidR="004B6CED">
        <w:rPr>
          <w:snapToGrid w:val="0"/>
        </w:rPr>
        <w:t xml:space="preserve"> non-federal entity </w:t>
      </w:r>
      <w:r w:rsidRPr="007864BF">
        <w:rPr>
          <w:snapToGrid w:val="0"/>
        </w:rPr>
        <w:t>is, or represents, a party to the matter</w:t>
      </w:r>
      <w:r w:rsidR="005C55EF">
        <w:rPr>
          <w:snapToGrid w:val="0"/>
        </w:rPr>
        <w:t>, unless you first receive written authorization</w:t>
      </w:r>
      <w:r w:rsidRPr="007864BF">
        <w:rPr>
          <w:snapToGrid w:val="0"/>
        </w:rPr>
        <w:t xml:space="preserve">.  </w:t>
      </w:r>
      <w:r w:rsidR="005C55EF">
        <w:rPr>
          <w:snapToGrid w:val="0"/>
        </w:rPr>
        <w:t>(</w:t>
      </w:r>
      <w:r w:rsidRPr="005C55EF">
        <w:rPr>
          <w:i/>
          <w:iCs/>
          <w:snapToGrid w:val="0"/>
        </w:rPr>
        <w:t>See</w:t>
      </w:r>
      <w:r w:rsidRPr="007864BF">
        <w:rPr>
          <w:snapToGrid w:val="0"/>
        </w:rPr>
        <w:t xml:space="preserve"> §1117 of the 2022 National Defense Authorization Act.</w:t>
      </w:r>
      <w:r w:rsidR="005C55EF">
        <w:rPr>
          <w:snapToGrid w:val="0"/>
        </w:rPr>
        <w:t>)</w:t>
      </w:r>
      <w:r w:rsidRPr="007864BF">
        <w:rPr>
          <w:snapToGrid w:val="0"/>
        </w:rPr>
        <w:t xml:space="preserve">  </w:t>
      </w:r>
    </w:p>
    <w:p w14:paraId="6B49A7D9" w14:textId="03B9337C" w:rsidR="00497388" w:rsidRDefault="00497388" w:rsidP="00A47303"/>
    <w:p w14:paraId="1FBA06FF" w14:textId="580BE060" w:rsidR="00497388" w:rsidRDefault="00DE747A" w:rsidP="00A47303">
      <w:r>
        <w:rPr>
          <w:snapToGrid w:val="0"/>
        </w:rPr>
        <w:t>[</w:t>
      </w:r>
      <w:r w:rsidRPr="005D217E">
        <w:rPr>
          <w:i/>
          <w:snapToGrid w:val="0"/>
          <w:color w:val="FF0000"/>
        </w:rPr>
        <w:t>Spouse</w:t>
      </w:r>
      <w:r>
        <w:rPr>
          <w:i/>
          <w:snapToGrid w:val="0"/>
          <w:color w:val="FF0000"/>
        </w:rPr>
        <w:t xml:space="preserve"> Income</w:t>
      </w:r>
      <w:r w:rsidR="00E10088">
        <w:rPr>
          <w:i/>
          <w:snapToGrid w:val="0"/>
          <w:color w:val="FF0000"/>
        </w:rPr>
        <w:t xml:space="preserve"> Source(s)</w:t>
      </w:r>
      <w:r>
        <w:rPr>
          <w:snapToGrid w:val="0"/>
        </w:rPr>
        <w:t>] Y</w:t>
      </w:r>
      <w:r>
        <w:t xml:space="preserve">ou reported that your spouse receives non-investment </w:t>
      </w:r>
      <w:r w:rsidR="00A270C3">
        <w:t xml:space="preserve">or earned </w:t>
      </w:r>
      <w:r>
        <w:t>income from</w:t>
      </w:r>
      <w:r w:rsidR="005C55EF">
        <w:t>:  ___________________</w:t>
      </w:r>
      <w:r>
        <w:t xml:space="preserve">.   </w:t>
      </w:r>
      <w:r w:rsidR="00E10088" w:rsidRPr="00E10088">
        <w:t xml:space="preserve">You may not participate in matters involving your spouse’s </w:t>
      </w:r>
      <w:proofErr w:type="gramStart"/>
      <w:r w:rsidR="00E10088" w:rsidRPr="00E10088">
        <w:t>employer, unless</w:t>
      </w:r>
      <w:proofErr w:type="gramEnd"/>
      <w:r w:rsidR="00E10088" w:rsidRPr="00E10088">
        <w:t xml:space="preserve"> you first receive written authorization.  Additionally, if your spouse holds any financial interest in the employer (e.g., stock options, profits interest, </w:t>
      </w:r>
      <w:r w:rsidR="00E10088">
        <w:t xml:space="preserve">company </w:t>
      </w:r>
      <w:r w:rsidR="005C55EF">
        <w:t>performance-based</w:t>
      </w:r>
      <w:r w:rsidR="00E10088">
        <w:t xml:space="preserve"> bonuses, </w:t>
      </w:r>
      <w:r w:rsidR="00E10088" w:rsidRPr="00E10088">
        <w:t>etc.), these are imputed to you</w:t>
      </w:r>
      <w:r w:rsidR="005C55EF">
        <w:t>,</w:t>
      </w:r>
      <w:r w:rsidR="00E10088" w:rsidRPr="00E10088">
        <w:t xml:space="preserve"> and you would be prohibited under the criminal conflict of interest statute from participating in matters that will have a direct and predictable effect on </w:t>
      </w:r>
      <w:r w:rsidR="005C55EF">
        <w:t>the company</w:t>
      </w:r>
      <w:r w:rsidR="00E10088" w:rsidRPr="00E10088">
        <w:t>.</w:t>
      </w:r>
    </w:p>
    <w:p w14:paraId="5AABB165" w14:textId="77777777" w:rsidR="005C55EF" w:rsidRPr="00A47303" w:rsidRDefault="005C55EF" w:rsidP="00A47303"/>
    <w:p w14:paraId="79DB24BB" w14:textId="5C39074A" w:rsidR="002D4157" w:rsidRDefault="00A47303" w:rsidP="00743956">
      <w:bookmarkStart w:id="0" w:name="_Hlk130222306"/>
      <w:r w:rsidRPr="00A47303">
        <w:t>[</w:t>
      </w:r>
      <w:r w:rsidRPr="00A47303">
        <w:rPr>
          <w:i/>
          <w:color w:val="FF0000"/>
        </w:rPr>
        <w:t>Outside Employer/Fiduciary</w:t>
      </w:r>
      <w:r w:rsidRPr="00A47303">
        <w:t xml:space="preserve">] You indicated that you continue to hold the following </w:t>
      </w:r>
      <w:r w:rsidR="005D6081">
        <w:t xml:space="preserve">outside </w:t>
      </w:r>
      <w:r w:rsidRPr="00A47303">
        <w:t xml:space="preserve">position(s):  </w:t>
      </w:r>
      <w:r w:rsidR="005C55EF">
        <w:t>_______________________________</w:t>
      </w:r>
      <w:r w:rsidRPr="00A47303">
        <w:t xml:space="preserve">.  If your duties would require you to participate in matters involving or affecting ANY entity in which you serve as an officer, director, trustee, general </w:t>
      </w:r>
      <w:proofErr w:type="gramStart"/>
      <w:r w:rsidRPr="00A47303">
        <w:t>partner</w:t>
      </w:r>
      <w:proofErr w:type="gramEnd"/>
      <w:r w:rsidRPr="00A47303">
        <w:t xml:space="preserve"> or current/prospective employee, you must inform your supervisor or our office before participating in the matter.  At that time, </w:t>
      </w:r>
      <w:proofErr w:type="gramStart"/>
      <w:r w:rsidRPr="00A47303">
        <w:t>you</w:t>
      </w:r>
      <w:proofErr w:type="gramEnd"/>
      <w:r w:rsidRPr="00A47303">
        <w:t xml:space="preserve"> and your supervisor, with assistance from this office, will work towards a solution to remove the conflict of financial interest.  Additionally, </w:t>
      </w:r>
      <w:r w:rsidR="005C55EF">
        <w:t xml:space="preserve">DoD financial disclosure filers </w:t>
      </w:r>
      <w:r w:rsidRPr="00A47303">
        <w:t xml:space="preserve">are required by regulation to obtain advance </w:t>
      </w:r>
      <w:r w:rsidR="005C55EF">
        <w:t xml:space="preserve">supervisor </w:t>
      </w:r>
      <w:r w:rsidRPr="00A47303">
        <w:t>approval, in coordination with ethics counsel, before engaging in a business activity or compensated outside employment with a prohibited source (</w:t>
      </w:r>
      <w:proofErr w:type="gramStart"/>
      <w:r w:rsidRPr="00A47303">
        <w:t>e.g.</w:t>
      </w:r>
      <w:proofErr w:type="gramEnd"/>
      <w:r w:rsidRPr="00A47303">
        <w:t xml:space="preserve"> an </w:t>
      </w:r>
      <w:r w:rsidRPr="00A47303">
        <w:lastRenderedPageBreak/>
        <w:t>entity seeking to do business with DoD).</w:t>
      </w:r>
      <w:r>
        <w:t xml:space="preserve">  </w:t>
      </w:r>
      <w:r w:rsidR="005C55EF">
        <w:t>Beginning in CY 2024, DoD supervisors must document this approval when signing the employee’s financial disclosure report.</w:t>
      </w:r>
    </w:p>
    <w:p w14:paraId="671D1929" w14:textId="77777777" w:rsidR="002D4157" w:rsidRDefault="002D4157" w:rsidP="00743956"/>
    <w:p w14:paraId="625B2437" w14:textId="77777777" w:rsidR="007050FF" w:rsidRPr="000F4258" w:rsidRDefault="00A47303" w:rsidP="00743956">
      <w:r>
        <w:t xml:space="preserve">Below is a </w:t>
      </w:r>
      <w:r w:rsidR="007050FF" w:rsidRPr="000F4258">
        <w:t>reminder of the general rules regarding activities with entities outside of the Federal government (even if unpaid):</w:t>
      </w:r>
    </w:p>
    <w:p w14:paraId="5D894884" w14:textId="77777777" w:rsidR="007050FF" w:rsidRPr="000F4258" w:rsidRDefault="007050FF" w:rsidP="00743956">
      <w:pPr>
        <w:tabs>
          <w:tab w:val="left" w:pos="8820"/>
        </w:tabs>
      </w:pPr>
    </w:p>
    <w:p w14:paraId="76AFD76D" w14:textId="77777777" w:rsidR="007050FF" w:rsidRPr="000F4258" w:rsidRDefault="007050FF" w:rsidP="00014FC2">
      <w:pPr>
        <w:numPr>
          <w:ilvl w:val="0"/>
          <w:numId w:val="33"/>
        </w:numPr>
        <w:ind w:left="720"/>
      </w:pPr>
      <w:r w:rsidRPr="000F4258">
        <w:t>You may not use your public office (authority or title) for the private gain of</w:t>
      </w:r>
      <w:r w:rsidR="002F5C11">
        <w:t xml:space="preserve"> an </w:t>
      </w:r>
      <w:r w:rsidRPr="000F4258">
        <w:t xml:space="preserve">outside entity. </w:t>
      </w:r>
    </w:p>
    <w:p w14:paraId="52E86AE1" w14:textId="77777777" w:rsidR="007050FF" w:rsidRPr="000F4258" w:rsidRDefault="007050FF" w:rsidP="00014FC2">
      <w:pPr>
        <w:ind w:left="720"/>
      </w:pPr>
    </w:p>
    <w:p w14:paraId="3959245D" w14:textId="77777777" w:rsidR="007050FF" w:rsidRDefault="007050FF" w:rsidP="00014FC2">
      <w:pPr>
        <w:numPr>
          <w:ilvl w:val="0"/>
          <w:numId w:val="33"/>
        </w:numPr>
        <w:ind w:left="720"/>
      </w:pPr>
      <w:r w:rsidRPr="000F4258">
        <w:t xml:space="preserve">You may not, with or without compensation, represent </w:t>
      </w:r>
      <w:r w:rsidR="002F5C11">
        <w:t>an</w:t>
      </w:r>
      <w:r w:rsidRPr="000F4258">
        <w:t xml:space="preserve"> outside entity before any Federal agency or U.S. Courts, where the U.S. is a party or has a substantial interest. </w:t>
      </w:r>
    </w:p>
    <w:p w14:paraId="2BD4C978" w14:textId="77777777" w:rsidR="002F5C11" w:rsidRPr="000F4258" w:rsidRDefault="002F5C11" w:rsidP="00014FC2">
      <w:pPr>
        <w:ind w:left="720"/>
      </w:pPr>
    </w:p>
    <w:p w14:paraId="1D41D797" w14:textId="77777777" w:rsidR="007050FF" w:rsidRPr="000F4258" w:rsidRDefault="007050FF" w:rsidP="00014FC2">
      <w:pPr>
        <w:numPr>
          <w:ilvl w:val="0"/>
          <w:numId w:val="33"/>
        </w:numPr>
        <w:ind w:left="720"/>
      </w:pPr>
      <w:r w:rsidRPr="000F4258">
        <w:t>You may not make unauthorized use of official time or Government pro</w:t>
      </w:r>
      <w:r w:rsidR="002F5C11">
        <w:t>perty for your activities with an</w:t>
      </w:r>
      <w:r w:rsidRPr="000F4258">
        <w:t xml:space="preserve"> outside entity.  </w:t>
      </w:r>
    </w:p>
    <w:p w14:paraId="01F86AEA" w14:textId="77777777" w:rsidR="007050FF" w:rsidRPr="000F4258" w:rsidRDefault="007050FF" w:rsidP="00014FC2">
      <w:pPr>
        <w:ind w:left="720"/>
      </w:pPr>
    </w:p>
    <w:p w14:paraId="322A492F" w14:textId="77777777" w:rsidR="007050FF" w:rsidRPr="000F4258" w:rsidRDefault="007050FF" w:rsidP="00014FC2">
      <w:pPr>
        <w:numPr>
          <w:ilvl w:val="0"/>
          <w:numId w:val="33"/>
        </w:numPr>
        <w:ind w:left="720"/>
      </w:pPr>
      <w:r w:rsidRPr="000F4258">
        <w:t xml:space="preserve">You may not give the appearance that DoD sanctions or endorses </w:t>
      </w:r>
      <w:r w:rsidR="002F5C11">
        <w:t>any</w:t>
      </w:r>
      <w:r w:rsidRPr="000F4258">
        <w:t xml:space="preserve"> outside entity or </w:t>
      </w:r>
      <w:r w:rsidR="002F5C11">
        <w:t>its services/products/activities</w:t>
      </w:r>
      <w:r w:rsidRPr="000F4258">
        <w:t xml:space="preserve">.  </w:t>
      </w:r>
    </w:p>
    <w:p w14:paraId="1B465011" w14:textId="77777777" w:rsidR="007050FF" w:rsidRPr="000F4258" w:rsidRDefault="007050FF" w:rsidP="00014FC2">
      <w:pPr>
        <w:ind w:left="720"/>
      </w:pPr>
    </w:p>
    <w:p w14:paraId="737A6B4C" w14:textId="77777777" w:rsidR="007050FF" w:rsidRDefault="007050FF" w:rsidP="00014FC2">
      <w:pPr>
        <w:numPr>
          <w:ilvl w:val="0"/>
          <w:numId w:val="33"/>
        </w:numPr>
        <w:ind w:left="720"/>
      </w:pPr>
      <w:r w:rsidRPr="000F4258">
        <w:t xml:space="preserve">You may not use or improperly disclose </w:t>
      </w:r>
      <w:r w:rsidR="002F5C11">
        <w:t xml:space="preserve">any </w:t>
      </w:r>
      <w:r w:rsidRPr="000F4258">
        <w:t xml:space="preserve">non-public information, including sensitive, classified, or otherwise protected information acquired as part of your official </w:t>
      </w:r>
      <w:proofErr w:type="gramStart"/>
      <w:r w:rsidRPr="000F4258">
        <w:t>duties</w:t>
      </w:r>
      <w:proofErr w:type="gramEnd"/>
      <w:r w:rsidRPr="000F4258">
        <w:t xml:space="preserve"> and which is not generally available to the public.  </w:t>
      </w:r>
    </w:p>
    <w:p w14:paraId="3A733B9F" w14:textId="77777777" w:rsidR="00805E8F" w:rsidRDefault="00805E8F" w:rsidP="00014FC2">
      <w:pPr>
        <w:ind w:left="720"/>
      </w:pPr>
    </w:p>
    <w:p w14:paraId="71C303B9" w14:textId="77777777" w:rsidR="00805E8F" w:rsidRPr="000F4258" w:rsidRDefault="00805E8F" w:rsidP="00014FC2">
      <w:pPr>
        <w:numPr>
          <w:ilvl w:val="0"/>
          <w:numId w:val="33"/>
        </w:numPr>
        <w:ind w:left="720"/>
      </w:pPr>
      <w:r>
        <w:t>If you are a</w:t>
      </w:r>
      <w:r w:rsidRPr="00805E8F">
        <w:t> politic</w:t>
      </w:r>
      <w:r>
        <w:t xml:space="preserve">al appointee, you may be </w:t>
      </w:r>
      <w:r w:rsidRPr="00805E8F">
        <w:t xml:space="preserve">subject to an outside earned income limitation or to an outside earned income ban, </w:t>
      </w:r>
      <w:r>
        <w:t>or both.</w:t>
      </w:r>
    </w:p>
    <w:p w14:paraId="6172BC8D" w14:textId="77777777" w:rsidR="007050FF" w:rsidRDefault="007050FF" w:rsidP="00743956"/>
    <w:bookmarkEnd w:id="0"/>
    <w:p w14:paraId="155623B4" w14:textId="77777777" w:rsidR="00706E0C" w:rsidRPr="00706E0C" w:rsidRDefault="002F5C11" w:rsidP="00706E0C">
      <w:pPr>
        <w:rPr>
          <w:snapToGrid w:val="0"/>
        </w:rPr>
      </w:pPr>
      <w:r w:rsidRPr="002F5C11">
        <w:rPr>
          <w:snapToGrid w:val="0"/>
        </w:rPr>
        <w:t xml:space="preserve">If you have no duties that would </w:t>
      </w:r>
      <w:r w:rsidR="00925968" w:rsidRPr="002F5C11">
        <w:rPr>
          <w:snapToGrid w:val="0"/>
        </w:rPr>
        <w:t>affect</w:t>
      </w:r>
      <w:r w:rsidRPr="002F5C11">
        <w:rPr>
          <w:snapToGrid w:val="0"/>
        </w:rPr>
        <w:t xml:space="preserve"> </w:t>
      </w:r>
      <w:r w:rsidR="00925968">
        <w:rPr>
          <w:snapToGrid w:val="0"/>
        </w:rPr>
        <w:t>ANY</w:t>
      </w:r>
      <w:r w:rsidRPr="002F5C11">
        <w:rPr>
          <w:snapToGrid w:val="0"/>
        </w:rPr>
        <w:t xml:space="preserve"> of the entities listed in your financial disclosure report, no further action is required. If you have potentially conflicting duties, please discuss with your supervisor and coordinate with</w:t>
      </w:r>
      <w:r>
        <w:rPr>
          <w:snapToGrid w:val="0"/>
        </w:rPr>
        <w:t xml:space="preserve"> ethics counsel</w:t>
      </w:r>
      <w:r w:rsidRPr="002F5C11">
        <w:rPr>
          <w:snapToGrid w:val="0"/>
        </w:rPr>
        <w:t xml:space="preserve"> </w:t>
      </w:r>
      <w:r w:rsidR="00925968">
        <w:rPr>
          <w:snapToGrid w:val="0"/>
        </w:rPr>
        <w:t>BEFORE</w:t>
      </w:r>
      <w:r w:rsidR="00706E0C">
        <w:rPr>
          <w:snapToGrid w:val="0"/>
        </w:rPr>
        <w:t xml:space="preserve"> participating in the matter.  </w:t>
      </w:r>
      <w:r w:rsidR="00706E0C" w:rsidRPr="00706E0C">
        <w:rPr>
          <w:snapToGrid w:val="0"/>
        </w:rPr>
        <w:t xml:space="preserve">At that time, </w:t>
      </w:r>
      <w:proofErr w:type="gramStart"/>
      <w:r w:rsidR="00706E0C" w:rsidRPr="00706E0C">
        <w:rPr>
          <w:snapToGrid w:val="0"/>
        </w:rPr>
        <w:t>you</w:t>
      </w:r>
      <w:proofErr w:type="gramEnd"/>
      <w:r w:rsidR="00706E0C" w:rsidRPr="00706E0C">
        <w:rPr>
          <w:snapToGrid w:val="0"/>
        </w:rPr>
        <w:t xml:space="preserve"> and your supervisor, with assistance from this office, will work towards a solution to remove the conflict of financial interest.  </w:t>
      </w:r>
    </w:p>
    <w:p w14:paraId="24A4630C" w14:textId="77777777" w:rsidR="00706E0C" w:rsidRDefault="00706E0C" w:rsidP="00BC1EFB">
      <w:pPr>
        <w:rPr>
          <w:snapToGrid w:val="0"/>
        </w:rPr>
      </w:pPr>
    </w:p>
    <w:p w14:paraId="51787A3E" w14:textId="77777777" w:rsidR="002C7343" w:rsidRPr="007A280E" w:rsidRDefault="002C7343" w:rsidP="00BC1EFB">
      <w:pPr>
        <w:rPr>
          <w:snapToGrid w:val="0"/>
        </w:rPr>
      </w:pPr>
      <w:r w:rsidRPr="007A280E">
        <w:rPr>
          <w:snapToGrid w:val="0"/>
        </w:rPr>
        <w:t xml:space="preserve">If you have any questions, don’t hesitate to contact me. </w:t>
      </w:r>
    </w:p>
    <w:p w14:paraId="15F68B88" w14:textId="77777777" w:rsidR="002C7343" w:rsidRPr="007A280E" w:rsidRDefault="002C7343" w:rsidP="00743956">
      <w:pPr>
        <w:ind w:firstLine="720"/>
        <w:rPr>
          <w:snapToGrid w:val="0"/>
        </w:rPr>
      </w:pPr>
    </w:p>
    <w:p w14:paraId="2E53AAE3" w14:textId="77777777" w:rsidR="00E87544" w:rsidRDefault="002F5C11" w:rsidP="00743956">
      <w:pPr>
        <w:ind w:firstLine="720"/>
        <w:rPr>
          <w:snapToGrid w:val="0"/>
        </w:rPr>
      </w:pPr>
      <w:r>
        <w:rPr>
          <w:snapToGrid w:val="0"/>
        </w:rPr>
        <w:t>Regards,</w:t>
      </w:r>
    </w:p>
    <w:p w14:paraId="5ACF8F12" w14:textId="77777777" w:rsidR="007665E5" w:rsidRDefault="007665E5">
      <w:pPr>
        <w:rPr>
          <w:snapToGrid w:val="0"/>
        </w:rPr>
      </w:pPr>
    </w:p>
    <w:p w14:paraId="67B07FC0" w14:textId="77777777" w:rsidR="007665E5" w:rsidRDefault="007665E5">
      <w:pPr>
        <w:rPr>
          <w:snapToGrid w:val="0"/>
        </w:rPr>
      </w:pPr>
    </w:p>
    <w:p w14:paraId="7921DD43" w14:textId="77777777" w:rsidR="007665E5" w:rsidRDefault="007665E5">
      <w:pPr>
        <w:rPr>
          <w:snapToGrid w:val="0"/>
        </w:rPr>
      </w:pPr>
      <w:r>
        <w:rPr>
          <w:snapToGrid w:val="0"/>
        </w:rPr>
        <w:t>---CUT LINE----</w:t>
      </w:r>
    </w:p>
    <w:p w14:paraId="23323E7D" w14:textId="77777777" w:rsidR="007665E5" w:rsidRDefault="007665E5"/>
    <w:p w14:paraId="581A953E" w14:textId="77777777" w:rsidR="005C55EF" w:rsidRDefault="005C55EF" w:rsidP="005C55EF">
      <w:pPr>
        <w:rPr>
          <w:snapToGrid w:val="0"/>
        </w:rPr>
      </w:pPr>
      <w:r w:rsidRPr="005C55EF">
        <w:rPr>
          <w:b/>
          <w:bCs/>
          <w:iCs/>
          <w:snapToGrid w:val="0"/>
          <w:color w:val="FF0000"/>
        </w:rPr>
        <w:t>Over-reporting Addendum for OGE 450s</w:t>
      </w:r>
      <w:r>
        <w:rPr>
          <w:snapToGrid w:val="0"/>
        </w:rPr>
        <w:t>:</w:t>
      </w:r>
      <w:r w:rsidRPr="005C55EF">
        <w:rPr>
          <w:snapToGrid w:val="0"/>
        </w:rPr>
        <w:t xml:space="preserve"> </w:t>
      </w:r>
      <w:r>
        <w:rPr>
          <w:snapToGrid w:val="0"/>
        </w:rPr>
        <w:t xml:space="preserve"> </w:t>
      </w:r>
    </w:p>
    <w:p w14:paraId="347785C9" w14:textId="77777777" w:rsidR="005C55EF" w:rsidRDefault="005C55EF" w:rsidP="005C55EF">
      <w:pPr>
        <w:rPr>
          <w:snapToGrid w:val="0"/>
        </w:rPr>
      </w:pPr>
    </w:p>
    <w:p w14:paraId="4469B91A" w14:textId="0EDC4CB5" w:rsidR="005C55EF" w:rsidRPr="005C55EF" w:rsidRDefault="005C55EF" w:rsidP="005C55EF">
      <w:pPr>
        <w:rPr>
          <w:snapToGrid w:val="0"/>
          <w:color w:val="FF0000"/>
        </w:rPr>
      </w:pPr>
      <w:r w:rsidRPr="005C55EF">
        <w:rPr>
          <w:snapToGrid w:val="0"/>
          <w:color w:val="FF0000"/>
        </w:rPr>
        <w:t xml:space="preserve">As an additional note, your report included several diversified mutual funds or diversified exchange traded funds, which are not reportable assets.  You should not include assets and information that is not required to be reported.  Information that you should NOT report </w:t>
      </w:r>
      <w:proofErr w:type="gramStart"/>
      <w:r w:rsidRPr="005C55EF">
        <w:rPr>
          <w:snapToGrid w:val="0"/>
          <w:color w:val="FF0000"/>
        </w:rPr>
        <w:t>includes:</w:t>
      </w:r>
      <w:proofErr w:type="gramEnd"/>
      <w:r w:rsidRPr="005C55EF">
        <w:rPr>
          <w:snapToGrid w:val="0"/>
          <w:color w:val="FF0000"/>
        </w:rPr>
        <w:t xml:space="preserve"> diversified mutual funds, bank accounts, and money market accounts, as well as account numbers and names of account holders.  See the "Common Questions" section along the right-hand side of the Assets screen in FDM for additional information.  Over-reporting results in more of your confidential information residing in Government files and databases and represents a waste of Government resources due to the time </w:t>
      </w:r>
      <w:r w:rsidRPr="005C55EF">
        <w:rPr>
          <w:snapToGrid w:val="0"/>
          <w:color w:val="FF0000"/>
        </w:rPr>
        <w:lastRenderedPageBreak/>
        <w:t>required for report completions, supervisor review, and ethics official certification.  You do not need to do anything with your current financial disclosure report that is the subject of this review.   Please ensure that you delete non-reportable assets, such as diversified mutual funds, from your next annual OGE 450.</w:t>
      </w:r>
    </w:p>
    <w:p w14:paraId="1F977509" w14:textId="77777777" w:rsidR="005C55EF" w:rsidRDefault="005C55EF" w:rsidP="007665E5">
      <w:pPr>
        <w:rPr>
          <w:b/>
          <w:snapToGrid w:val="0"/>
          <w:color w:val="FF0000"/>
        </w:rPr>
      </w:pPr>
    </w:p>
    <w:p w14:paraId="6EE78F1A" w14:textId="77777777" w:rsidR="005C55EF" w:rsidRDefault="005C55EF" w:rsidP="007665E5">
      <w:pPr>
        <w:rPr>
          <w:b/>
          <w:snapToGrid w:val="0"/>
          <w:color w:val="FF0000"/>
        </w:rPr>
      </w:pPr>
    </w:p>
    <w:p w14:paraId="599411A8" w14:textId="0188F24B" w:rsidR="007665E5" w:rsidRPr="007665E5" w:rsidRDefault="007665E5" w:rsidP="007665E5">
      <w:pPr>
        <w:rPr>
          <w:b/>
          <w:snapToGrid w:val="0"/>
          <w:color w:val="FF0000"/>
        </w:rPr>
      </w:pPr>
      <w:r w:rsidRPr="007665E5">
        <w:rPr>
          <w:b/>
          <w:snapToGrid w:val="0"/>
          <w:color w:val="FF0000"/>
        </w:rPr>
        <w:t xml:space="preserve">Other Restrictions that might be applicable </w:t>
      </w:r>
      <w:r w:rsidR="00A85D0C">
        <w:rPr>
          <w:b/>
          <w:snapToGrid w:val="0"/>
          <w:color w:val="FF0000"/>
        </w:rPr>
        <w:t>for public filers</w:t>
      </w:r>
      <w:r w:rsidR="005C55EF">
        <w:rPr>
          <w:b/>
          <w:snapToGrid w:val="0"/>
          <w:color w:val="FF0000"/>
        </w:rPr>
        <w:t>:</w:t>
      </w:r>
    </w:p>
    <w:p w14:paraId="2076487A" w14:textId="77777777" w:rsidR="007665E5" w:rsidRPr="007665E5" w:rsidRDefault="007665E5" w:rsidP="00743956">
      <w:pPr>
        <w:ind w:firstLine="720"/>
        <w:rPr>
          <w:snapToGrid w:val="0"/>
          <w:color w:val="FF0000"/>
        </w:rPr>
      </w:pPr>
    </w:p>
    <w:p w14:paraId="74C7401E" w14:textId="77777777" w:rsidR="006F02A4" w:rsidRDefault="006F02A4" w:rsidP="007665E5">
      <w:pPr>
        <w:rPr>
          <w:snapToGrid w:val="0"/>
          <w:color w:val="FF0000"/>
        </w:rPr>
      </w:pPr>
      <w:r>
        <w:rPr>
          <w:snapToGrid w:val="0"/>
          <w:color w:val="FF0000"/>
        </w:rPr>
        <w:t>Ethics Pledge Restrictions</w:t>
      </w:r>
    </w:p>
    <w:p w14:paraId="1AF3A9E6" w14:textId="77777777" w:rsidR="006F02A4" w:rsidRPr="006F02A4" w:rsidRDefault="006F02A4" w:rsidP="006F02A4">
      <w:pPr>
        <w:pStyle w:val="ListParagraph"/>
        <w:numPr>
          <w:ilvl w:val="0"/>
          <w:numId w:val="36"/>
        </w:numPr>
        <w:rPr>
          <w:snapToGrid w:val="0"/>
          <w:color w:val="FF0000"/>
        </w:rPr>
      </w:pPr>
      <w:r w:rsidRPr="006F02A4">
        <w:rPr>
          <w:snapToGrid w:val="0"/>
          <w:color w:val="FF0000"/>
        </w:rPr>
        <w:t xml:space="preserve">In addition, the President’s Ethics Pledge requires you to recuse yourself for two years from any </w:t>
      </w:r>
      <w:proofErr w:type="gramStart"/>
      <w:r w:rsidRPr="006F02A4">
        <w:rPr>
          <w:snapToGrid w:val="0"/>
          <w:color w:val="FF0000"/>
        </w:rPr>
        <w:t>particular matter</w:t>
      </w:r>
      <w:proofErr w:type="gramEnd"/>
      <w:r w:rsidRPr="006F02A4">
        <w:rPr>
          <w:snapToGrid w:val="0"/>
          <w:color w:val="FF0000"/>
        </w:rPr>
        <w:t xml:space="preserve"> involving specific parties in which your former employer or client is or represents a party, if you served that employer or client during the two years prior to your appointment.  If you were a registered lobbyist during the prior two years</w:t>
      </w:r>
      <w:r w:rsidR="00E84515">
        <w:rPr>
          <w:snapToGrid w:val="0"/>
          <w:color w:val="FF0000"/>
        </w:rPr>
        <w:t xml:space="preserve"> or registered under the Foreign Agents Registration Act</w:t>
      </w:r>
      <w:r w:rsidRPr="006F02A4">
        <w:rPr>
          <w:snapToGrid w:val="0"/>
          <w:color w:val="FF0000"/>
        </w:rPr>
        <w:t xml:space="preserve">, you are also required to recuse yourself for two years after your appointment from any </w:t>
      </w:r>
      <w:proofErr w:type="gramStart"/>
      <w:r w:rsidRPr="006F02A4">
        <w:rPr>
          <w:snapToGrid w:val="0"/>
          <w:color w:val="FF0000"/>
        </w:rPr>
        <w:t>particular matter</w:t>
      </w:r>
      <w:proofErr w:type="gramEnd"/>
      <w:r w:rsidRPr="006F02A4">
        <w:rPr>
          <w:snapToGrid w:val="0"/>
          <w:color w:val="FF0000"/>
        </w:rPr>
        <w:t xml:space="preserve"> on which you lobbied </w:t>
      </w:r>
      <w:r w:rsidR="00E84515">
        <w:rPr>
          <w:snapToGrid w:val="0"/>
          <w:color w:val="FF0000"/>
        </w:rPr>
        <w:t xml:space="preserve">or represented the foreign entity </w:t>
      </w:r>
      <w:r w:rsidRPr="006F02A4">
        <w:rPr>
          <w:snapToGrid w:val="0"/>
          <w:color w:val="FF0000"/>
        </w:rPr>
        <w:t>during the two years prior to your appointment.</w:t>
      </w:r>
    </w:p>
    <w:p w14:paraId="10C99EB8" w14:textId="77777777" w:rsidR="006F02A4" w:rsidRPr="006F02A4" w:rsidRDefault="006F02A4" w:rsidP="006F02A4">
      <w:pPr>
        <w:pStyle w:val="ListParagraph"/>
        <w:rPr>
          <w:snapToGrid w:val="0"/>
          <w:color w:val="FF0000"/>
        </w:rPr>
      </w:pPr>
    </w:p>
    <w:p w14:paraId="21DABB3B" w14:textId="77777777" w:rsidR="006F02A4" w:rsidRDefault="006F02A4" w:rsidP="007665E5">
      <w:pPr>
        <w:rPr>
          <w:snapToGrid w:val="0"/>
          <w:color w:val="FF0000"/>
        </w:rPr>
      </w:pPr>
    </w:p>
    <w:p w14:paraId="5F4D9DB9" w14:textId="77777777" w:rsidR="007665E5" w:rsidRDefault="007665E5" w:rsidP="007665E5">
      <w:pPr>
        <w:rPr>
          <w:snapToGrid w:val="0"/>
          <w:color w:val="FF0000"/>
        </w:rPr>
      </w:pPr>
      <w:r w:rsidRPr="007665E5">
        <w:rPr>
          <w:snapToGrid w:val="0"/>
          <w:color w:val="FF0000"/>
        </w:rPr>
        <w:t xml:space="preserve">Covered Noncareer Employees </w:t>
      </w:r>
    </w:p>
    <w:p w14:paraId="3FA8B380" w14:textId="77777777" w:rsidR="007665E5" w:rsidRDefault="007665E5" w:rsidP="007665E5">
      <w:pPr>
        <w:pStyle w:val="ListParagraph"/>
        <w:numPr>
          <w:ilvl w:val="0"/>
          <w:numId w:val="35"/>
        </w:numPr>
        <w:rPr>
          <w:snapToGrid w:val="0"/>
          <w:color w:val="FF0000"/>
        </w:rPr>
      </w:pPr>
      <w:r w:rsidRPr="007665E5">
        <w:rPr>
          <w:snapToGrid w:val="0"/>
          <w:color w:val="FF0000"/>
          <w:u w:val="single"/>
        </w:rPr>
        <w:t>Use of Name</w:t>
      </w:r>
      <w:r w:rsidRPr="007665E5">
        <w:rPr>
          <w:snapToGrid w:val="0"/>
          <w:color w:val="FF0000"/>
        </w:rPr>
        <w:t>: Under 5 U.S.C. app. § 502(a)(2) and 5 C.F.R. § 2636.305(a)(2), a covered noncareer employee, as defined by 5 C.F.R. § 2636.303(a), is prohibited from permitting the use of their name by any firm, partnership, association, corporation, or other entity which provides professional services invol</w:t>
      </w:r>
      <w:r w:rsidR="00662210">
        <w:rPr>
          <w:snapToGrid w:val="0"/>
          <w:color w:val="FF0000"/>
        </w:rPr>
        <w:t xml:space="preserve">ving a fiduciary relationship. </w:t>
      </w:r>
      <w:r w:rsidRPr="007665E5">
        <w:rPr>
          <w:snapToGrid w:val="0"/>
          <w:color w:val="FF0000"/>
        </w:rPr>
        <w:t xml:space="preserve"> Therefore, if a business entity that provides professional services involving a fiduciary relationship bears the name of a prospective covered noncareer employee, the prospective employee must take steps to have the business entity remove their name from the business’s name.</w:t>
      </w:r>
      <w:r w:rsidR="00EB46E0">
        <w:rPr>
          <w:snapToGrid w:val="0"/>
          <w:color w:val="FF0000"/>
        </w:rPr>
        <w:t xml:space="preserve"> </w:t>
      </w:r>
      <w:r w:rsidRPr="007665E5">
        <w:rPr>
          <w:snapToGrid w:val="0"/>
          <w:color w:val="FF0000"/>
        </w:rPr>
        <w:t xml:space="preserve"> If the employee is not successful in having their name removed, the employee must be able to demonstrate that they have taken all reasonable steps to comply with the law. </w:t>
      </w:r>
    </w:p>
    <w:p w14:paraId="45FB018D" w14:textId="476ED378" w:rsidR="00CC1ED7" w:rsidRDefault="00CC1ED7" w:rsidP="00CC1ED7">
      <w:pPr>
        <w:pStyle w:val="ListParagraph"/>
        <w:numPr>
          <w:ilvl w:val="1"/>
          <w:numId w:val="35"/>
        </w:numPr>
        <w:rPr>
          <w:snapToGrid w:val="0"/>
          <w:color w:val="FF0000"/>
        </w:rPr>
      </w:pPr>
      <w:r>
        <w:rPr>
          <w:snapToGrid w:val="0"/>
          <w:color w:val="FF0000"/>
        </w:rPr>
        <w:t>“</w:t>
      </w:r>
      <w:r w:rsidRPr="00CC1ED7">
        <w:rPr>
          <w:snapToGrid w:val="0"/>
          <w:color w:val="FF0000"/>
        </w:rPr>
        <w:t>As a non-career SES, you are prohibited from permitting the use of your name by any firm, partnership, association, corporation, or other entity which provides professional services invo</w:t>
      </w:r>
      <w:r>
        <w:rPr>
          <w:snapToGrid w:val="0"/>
          <w:color w:val="FF0000"/>
        </w:rPr>
        <w:t>lving a fiduciary relationship.”</w:t>
      </w:r>
      <w:r w:rsidRPr="00CC1ED7">
        <w:rPr>
          <w:snapToGrid w:val="0"/>
          <w:color w:val="FF0000"/>
        </w:rPr>
        <w:t xml:space="preserve"> </w:t>
      </w:r>
    </w:p>
    <w:p w14:paraId="01B37385" w14:textId="77777777" w:rsidR="005C55EF" w:rsidRPr="007665E5" w:rsidRDefault="005C55EF" w:rsidP="005C55EF">
      <w:pPr>
        <w:pStyle w:val="ListParagraph"/>
        <w:ind w:left="1440"/>
        <w:rPr>
          <w:snapToGrid w:val="0"/>
          <w:color w:val="FF0000"/>
        </w:rPr>
      </w:pPr>
    </w:p>
    <w:p w14:paraId="49776613" w14:textId="77777777" w:rsidR="007665E5" w:rsidRDefault="007665E5" w:rsidP="007665E5">
      <w:pPr>
        <w:pStyle w:val="ListParagraph"/>
        <w:numPr>
          <w:ilvl w:val="0"/>
          <w:numId w:val="35"/>
        </w:numPr>
        <w:rPr>
          <w:snapToGrid w:val="0"/>
          <w:color w:val="FF0000"/>
        </w:rPr>
      </w:pPr>
      <w:r w:rsidRPr="007665E5">
        <w:rPr>
          <w:snapToGrid w:val="0"/>
          <w:color w:val="FF0000"/>
          <w:u w:val="single"/>
        </w:rPr>
        <w:t>Teaching for Compensation</w:t>
      </w:r>
      <w:r w:rsidRPr="007665E5">
        <w:rPr>
          <w:snapToGrid w:val="0"/>
          <w:color w:val="FF0000"/>
        </w:rPr>
        <w:t>: A covered noncareer employee may receive compensation for teaching only when specifically authorized in advance by the desi</w:t>
      </w:r>
      <w:r w:rsidR="00EB46E0">
        <w:rPr>
          <w:snapToGrid w:val="0"/>
          <w:color w:val="FF0000"/>
        </w:rPr>
        <w:t xml:space="preserve">gnated agency ethics official. </w:t>
      </w:r>
      <w:r w:rsidRPr="007665E5">
        <w:rPr>
          <w:snapToGrid w:val="0"/>
          <w:color w:val="FF0000"/>
        </w:rPr>
        <w:t xml:space="preserve"> Covered noncareer employees and their ethics officials should be aware that “teaching” is not limited to teaching that occurs in a formal setting, such as a classroom. Rather, it also extends to instruction on an individual bas</w:t>
      </w:r>
      <w:r w:rsidR="00EB46E0">
        <w:rPr>
          <w:snapToGrid w:val="0"/>
          <w:color w:val="FF0000"/>
        </w:rPr>
        <w:t xml:space="preserve">is or in an informal setting. </w:t>
      </w:r>
    </w:p>
    <w:p w14:paraId="0493B74E" w14:textId="77777777" w:rsidR="00E87544" w:rsidRPr="001C6E94" w:rsidRDefault="00CC1ED7" w:rsidP="001A23D6">
      <w:pPr>
        <w:pStyle w:val="ListParagraph"/>
        <w:numPr>
          <w:ilvl w:val="1"/>
          <w:numId w:val="35"/>
        </w:numPr>
        <w:ind w:firstLine="720"/>
        <w:rPr>
          <w:snapToGrid w:val="0"/>
        </w:rPr>
      </w:pPr>
      <w:r w:rsidRPr="001C6E94">
        <w:rPr>
          <w:snapToGrid w:val="0"/>
          <w:color w:val="FF0000"/>
        </w:rPr>
        <w:t>“As a non-career SES, you are required to receive approval from the designated agency ethics official before receiving compensation for teaching.”</w:t>
      </w:r>
    </w:p>
    <w:p w14:paraId="31EBDAFE" w14:textId="79B73FBE" w:rsidR="00D95194" w:rsidRDefault="00D95194">
      <w:pPr>
        <w:rPr>
          <w:snapToGrid w:val="0"/>
        </w:rPr>
      </w:pPr>
    </w:p>
    <w:p w14:paraId="403D09D5" w14:textId="77777777" w:rsidR="00E87544" w:rsidRPr="007A280E" w:rsidRDefault="00E87544" w:rsidP="002F5C11">
      <w:pPr>
        <w:rPr>
          <w:snapToGrid w:val="0"/>
        </w:rPr>
      </w:pPr>
    </w:p>
    <w:sectPr w:rsidR="00E87544" w:rsidRPr="007A280E" w:rsidSect="00743956">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4EE5" w14:textId="77777777" w:rsidR="00DA27DF" w:rsidRDefault="00DA27DF">
      <w:r>
        <w:separator/>
      </w:r>
    </w:p>
  </w:endnote>
  <w:endnote w:type="continuationSeparator" w:id="0">
    <w:p w14:paraId="1BCB8C93" w14:textId="77777777" w:rsidR="00DA27DF" w:rsidRDefault="00DA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5F86" w14:textId="77777777" w:rsidR="00576EFB" w:rsidRDefault="00576EFB" w:rsidP="00E16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115BF0" w14:textId="77777777" w:rsidR="00576EFB" w:rsidRDefault="00576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BECB" w14:textId="77777777" w:rsidR="00576EFB" w:rsidRPr="00C503E2" w:rsidRDefault="00576EFB" w:rsidP="00E1608F">
    <w:pPr>
      <w:pStyle w:val="Footer"/>
      <w:framePr w:wrap="around" w:vAnchor="text" w:hAnchor="margin" w:xAlign="center" w:y="1"/>
      <w:rPr>
        <w:rStyle w:val="PageNumber"/>
        <w:rFonts w:ascii="Arial" w:hAnsi="Arial" w:cs="Arial"/>
        <w:sz w:val="20"/>
        <w:szCs w:val="20"/>
      </w:rPr>
    </w:pPr>
    <w:r w:rsidRPr="00C503E2">
      <w:rPr>
        <w:rStyle w:val="PageNumber"/>
        <w:rFonts w:ascii="Arial" w:hAnsi="Arial" w:cs="Arial"/>
        <w:sz w:val="20"/>
        <w:szCs w:val="20"/>
      </w:rPr>
      <w:fldChar w:fldCharType="begin"/>
    </w:r>
    <w:r w:rsidRPr="00C503E2">
      <w:rPr>
        <w:rStyle w:val="PageNumber"/>
        <w:rFonts w:ascii="Arial" w:hAnsi="Arial" w:cs="Arial"/>
        <w:sz w:val="20"/>
        <w:szCs w:val="20"/>
      </w:rPr>
      <w:instrText xml:space="preserve">PAGE  </w:instrText>
    </w:r>
    <w:r w:rsidRPr="00C503E2">
      <w:rPr>
        <w:rStyle w:val="PageNumber"/>
        <w:rFonts w:ascii="Arial" w:hAnsi="Arial" w:cs="Arial"/>
        <w:sz w:val="20"/>
        <w:szCs w:val="20"/>
      </w:rPr>
      <w:fldChar w:fldCharType="separate"/>
    </w:r>
    <w:r w:rsidR="00014FC2">
      <w:rPr>
        <w:rStyle w:val="PageNumber"/>
        <w:rFonts w:ascii="Arial" w:hAnsi="Arial" w:cs="Arial"/>
        <w:noProof/>
        <w:sz w:val="20"/>
        <w:szCs w:val="20"/>
      </w:rPr>
      <w:t>2</w:t>
    </w:r>
    <w:r w:rsidRPr="00C503E2">
      <w:rPr>
        <w:rStyle w:val="PageNumber"/>
        <w:rFonts w:ascii="Arial" w:hAnsi="Arial" w:cs="Arial"/>
        <w:sz w:val="20"/>
        <w:szCs w:val="20"/>
      </w:rPr>
      <w:fldChar w:fldCharType="end"/>
    </w:r>
  </w:p>
  <w:p w14:paraId="3BF920E0" w14:textId="77777777" w:rsidR="00576EFB" w:rsidRDefault="00576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F5C4" w14:textId="77777777" w:rsidR="00DA27DF" w:rsidRDefault="00DA27DF">
      <w:r>
        <w:separator/>
      </w:r>
    </w:p>
  </w:footnote>
  <w:footnote w:type="continuationSeparator" w:id="0">
    <w:p w14:paraId="387FFEB2" w14:textId="77777777" w:rsidR="00DA27DF" w:rsidRDefault="00DA2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C8E"/>
    <w:multiLevelType w:val="multilevel"/>
    <w:tmpl w:val="5CACC8E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22D38D4"/>
    <w:multiLevelType w:val="hybridMultilevel"/>
    <w:tmpl w:val="9E3CEBB8"/>
    <w:lvl w:ilvl="0" w:tplc="B4DCE5F0">
      <w:start w:val="1"/>
      <w:numFmt w:val="bullet"/>
      <w:pStyle w:val="Feature-Paragraph"/>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767E8D"/>
    <w:multiLevelType w:val="hybridMultilevel"/>
    <w:tmpl w:val="854AFF86"/>
    <w:lvl w:ilvl="0" w:tplc="04090003">
      <w:start w:val="1"/>
      <w:numFmt w:val="bullet"/>
      <w:lvlText w:val="o"/>
      <w:lvlJc w:val="left"/>
      <w:pPr>
        <w:tabs>
          <w:tab w:val="num" w:pos="1440"/>
        </w:tabs>
        <w:ind w:left="1440" w:hanging="360"/>
      </w:pPr>
      <w:rPr>
        <w:rFonts w:ascii="Courier New" w:hAnsi="Courier New" w:cs="Courier New"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A4659F2"/>
    <w:multiLevelType w:val="hybridMultilevel"/>
    <w:tmpl w:val="CBE0D10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D94CB4"/>
    <w:multiLevelType w:val="hybridMultilevel"/>
    <w:tmpl w:val="D7EE7C4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0E3960"/>
    <w:multiLevelType w:val="multilevel"/>
    <w:tmpl w:val="5CACC8E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CF66E2E"/>
    <w:multiLevelType w:val="hybridMultilevel"/>
    <w:tmpl w:val="5AA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55B73"/>
    <w:multiLevelType w:val="hybridMultilevel"/>
    <w:tmpl w:val="1A72C598"/>
    <w:lvl w:ilvl="0" w:tplc="97D8AD4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70386A"/>
    <w:multiLevelType w:val="hybridMultilevel"/>
    <w:tmpl w:val="E616A04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D015B3"/>
    <w:multiLevelType w:val="hybridMultilevel"/>
    <w:tmpl w:val="663A40AE"/>
    <w:lvl w:ilvl="0" w:tplc="97D8AD4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7408D9"/>
    <w:multiLevelType w:val="hybridMultilevel"/>
    <w:tmpl w:val="4E4625E0"/>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B595F4F"/>
    <w:multiLevelType w:val="hybridMultilevel"/>
    <w:tmpl w:val="E4901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1265A"/>
    <w:multiLevelType w:val="hybridMultilevel"/>
    <w:tmpl w:val="E8D01C9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21E50C22"/>
    <w:multiLevelType w:val="hybridMultilevel"/>
    <w:tmpl w:val="F2265A26"/>
    <w:lvl w:ilvl="0" w:tplc="97D8AD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37C0EB3"/>
    <w:multiLevelType w:val="hybridMultilevel"/>
    <w:tmpl w:val="45F6511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7023C60"/>
    <w:multiLevelType w:val="hybridMultilevel"/>
    <w:tmpl w:val="15802DC2"/>
    <w:lvl w:ilvl="0" w:tplc="97D8AD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F35F99"/>
    <w:multiLevelType w:val="hybridMultilevel"/>
    <w:tmpl w:val="565A2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402199"/>
    <w:multiLevelType w:val="hybridMultilevel"/>
    <w:tmpl w:val="67860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9C1304"/>
    <w:multiLevelType w:val="hybridMultilevel"/>
    <w:tmpl w:val="495E0570"/>
    <w:lvl w:ilvl="0" w:tplc="B780493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90E16B8"/>
    <w:multiLevelType w:val="hybridMultilevel"/>
    <w:tmpl w:val="C21071B8"/>
    <w:lvl w:ilvl="0" w:tplc="97D8AD4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243518"/>
    <w:multiLevelType w:val="hybridMultilevel"/>
    <w:tmpl w:val="581CAD4E"/>
    <w:lvl w:ilvl="0" w:tplc="97D8AD4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5E7112"/>
    <w:multiLevelType w:val="hybridMultilevel"/>
    <w:tmpl w:val="0B2E35AE"/>
    <w:lvl w:ilvl="0" w:tplc="04090003">
      <w:start w:val="1"/>
      <w:numFmt w:val="bullet"/>
      <w:lvlText w:val="o"/>
      <w:lvlJc w:val="left"/>
      <w:pPr>
        <w:tabs>
          <w:tab w:val="num" w:pos="1500"/>
        </w:tabs>
        <w:ind w:left="1500" w:hanging="360"/>
      </w:pPr>
      <w:rPr>
        <w:rFonts w:ascii="Courier New" w:hAnsi="Courier New" w:cs="Courier New"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15:restartNumberingAfterBreak="0">
    <w:nsid w:val="50510A8E"/>
    <w:multiLevelType w:val="hybridMultilevel"/>
    <w:tmpl w:val="1EB80138"/>
    <w:lvl w:ilvl="0" w:tplc="04090003">
      <w:start w:val="1"/>
      <w:numFmt w:val="bullet"/>
      <w:lvlText w:val="o"/>
      <w:lvlJc w:val="left"/>
      <w:pPr>
        <w:tabs>
          <w:tab w:val="num" w:pos="1440"/>
        </w:tabs>
        <w:ind w:left="1440" w:hanging="360"/>
      </w:pPr>
      <w:rPr>
        <w:rFonts w:ascii="Courier New" w:hAnsi="Courier New" w:cs="Courier New"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56A0214"/>
    <w:multiLevelType w:val="hybridMultilevel"/>
    <w:tmpl w:val="45D42B3C"/>
    <w:lvl w:ilvl="0" w:tplc="103880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A117A22"/>
    <w:multiLevelType w:val="hybridMultilevel"/>
    <w:tmpl w:val="328EF3E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BCA17A3"/>
    <w:multiLevelType w:val="hybridMultilevel"/>
    <w:tmpl w:val="FE386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D34CD5"/>
    <w:multiLevelType w:val="hybridMultilevel"/>
    <w:tmpl w:val="03680E52"/>
    <w:lvl w:ilvl="0" w:tplc="97D8AD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09A3442"/>
    <w:multiLevelType w:val="hybridMultilevel"/>
    <w:tmpl w:val="2092FEA8"/>
    <w:lvl w:ilvl="0" w:tplc="04090003">
      <w:start w:val="1"/>
      <w:numFmt w:val="bullet"/>
      <w:lvlText w:val="o"/>
      <w:lvlJc w:val="left"/>
      <w:pPr>
        <w:tabs>
          <w:tab w:val="num" w:pos="1500"/>
        </w:tabs>
        <w:ind w:left="1500" w:hanging="360"/>
      </w:pPr>
      <w:rPr>
        <w:rFonts w:ascii="Courier New" w:hAnsi="Courier New" w:cs="Courier New"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15:restartNumberingAfterBreak="0">
    <w:nsid w:val="66580AE4"/>
    <w:multiLevelType w:val="hybridMultilevel"/>
    <w:tmpl w:val="00AAE7E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A0F029C"/>
    <w:multiLevelType w:val="hybridMultilevel"/>
    <w:tmpl w:val="972C217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C26840"/>
    <w:multiLevelType w:val="hybridMultilevel"/>
    <w:tmpl w:val="48A2C522"/>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C1E04CC"/>
    <w:multiLevelType w:val="hybridMultilevel"/>
    <w:tmpl w:val="59B4EC18"/>
    <w:lvl w:ilvl="0" w:tplc="97D8AD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CF92785"/>
    <w:multiLevelType w:val="hybridMultilevel"/>
    <w:tmpl w:val="86EEBC9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F7E5884"/>
    <w:multiLevelType w:val="hybridMultilevel"/>
    <w:tmpl w:val="28382FC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793667102">
    <w:abstractNumId w:val="1"/>
  </w:num>
  <w:num w:numId="2" w16cid:durableId="1361786266">
    <w:abstractNumId w:val="1"/>
  </w:num>
  <w:num w:numId="3" w16cid:durableId="1651909679">
    <w:abstractNumId w:val="25"/>
  </w:num>
  <w:num w:numId="4" w16cid:durableId="1971588428">
    <w:abstractNumId w:val="17"/>
  </w:num>
  <w:num w:numId="5" w16cid:durableId="1070269214">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5001428">
    <w:abstractNumId w:val="15"/>
  </w:num>
  <w:num w:numId="7" w16cid:durableId="1207641307">
    <w:abstractNumId w:val="29"/>
  </w:num>
  <w:num w:numId="8" w16cid:durableId="751396238">
    <w:abstractNumId w:val="8"/>
  </w:num>
  <w:num w:numId="9" w16cid:durableId="1676032359">
    <w:abstractNumId w:val="13"/>
  </w:num>
  <w:num w:numId="10" w16cid:durableId="270015016">
    <w:abstractNumId w:val="31"/>
  </w:num>
  <w:num w:numId="11" w16cid:durableId="290982387">
    <w:abstractNumId w:val="19"/>
  </w:num>
  <w:num w:numId="12" w16cid:durableId="1182549408">
    <w:abstractNumId w:val="20"/>
  </w:num>
  <w:num w:numId="13" w16cid:durableId="1061950639">
    <w:abstractNumId w:val="7"/>
  </w:num>
  <w:num w:numId="14" w16cid:durableId="1400205358">
    <w:abstractNumId w:val="9"/>
  </w:num>
  <w:num w:numId="15" w16cid:durableId="225796797">
    <w:abstractNumId w:val="10"/>
  </w:num>
  <w:num w:numId="16" w16cid:durableId="1708333974">
    <w:abstractNumId w:val="22"/>
  </w:num>
  <w:num w:numId="17" w16cid:durableId="731466565">
    <w:abstractNumId w:val="2"/>
  </w:num>
  <w:num w:numId="18" w16cid:durableId="1858422445">
    <w:abstractNumId w:val="5"/>
  </w:num>
  <w:num w:numId="19" w16cid:durableId="1343899982">
    <w:abstractNumId w:val="26"/>
  </w:num>
  <w:num w:numId="20" w16cid:durableId="566913590">
    <w:abstractNumId w:val="28"/>
  </w:num>
  <w:num w:numId="21" w16cid:durableId="886261405">
    <w:abstractNumId w:val="0"/>
  </w:num>
  <w:num w:numId="22" w16cid:durableId="151988250">
    <w:abstractNumId w:val="24"/>
  </w:num>
  <w:num w:numId="23" w16cid:durableId="1819498350">
    <w:abstractNumId w:val="4"/>
  </w:num>
  <w:num w:numId="24" w16cid:durableId="1762027523">
    <w:abstractNumId w:val="27"/>
  </w:num>
  <w:num w:numId="25" w16cid:durableId="766198355">
    <w:abstractNumId w:val="30"/>
  </w:num>
  <w:num w:numId="26" w16cid:durableId="494228215">
    <w:abstractNumId w:val="3"/>
  </w:num>
  <w:num w:numId="27" w16cid:durableId="701785187">
    <w:abstractNumId w:val="14"/>
  </w:num>
  <w:num w:numId="28" w16cid:durableId="1997609667">
    <w:abstractNumId w:val="33"/>
  </w:num>
  <w:num w:numId="29" w16cid:durableId="645164091">
    <w:abstractNumId w:val="32"/>
  </w:num>
  <w:num w:numId="30" w16cid:durableId="771896736">
    <w:abstractNumId w:val="21"/>
  </w:num>
  <w:num w:numId="31" w16cid:durableId="101804940">
    <w:abstractNumId w:val="23"/>
  </w:num>
  <w:num w:numId="32" w16cid:durableId="1737584228">
    <w:abstractNumId w:val="18"/>
  </w:num>
  <w:num w:numId="33" w16cid:durableId="1584684065">
    <w:abstractNumId w:val="12"/>
  </w:num>
  <w:num w:numId="34" w16cid:durableId="845053593">
    <w:abstractNumId w:val="16"/>
  </w:num>
  <w:num w:numId="35" w16cid:durableId="1798988299">
    <w:abstractNumId w:val="11"/>
  </w:num>
  <w:num w:numId="36" w16cid:durableId="11733722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96"/>
    <w:rsid w:val="0000763C"/>
    <w:rsid w:val="00011D96"/>
    <w:rsid w:val="00014FC2"/>
    <w:rsid w:val="00016A56"/>
    <w:rsid w:val="00024544"/>
    <w:rsid w:val="000360B9"/>
    <w:rsid w:val="000421FE"/>
    <w:rsid w:val="00045B21"/>
    <w:rsid w:val="00050948"/>
    <w:rsid w:val="00050D27"/>
    <w:rsid w:val="00053221"/>
    <w:rsid w:val="00056B91"/>
    <w:rsid w:val="00072A92"/>
    <w:rsid w:val="000824E9"/>
    <w:rsid w:val="00085C73"/>
    <w:rsid w:val="00085D2B"/>
    <w:rsid w:val="0008730D"/>
    <w:rsid w:val="000919BB"/>
    <w:rsid w:val="0009354E"/>
    <w:rsid w:val="000943F4"/>
    <w:rsid w:val="00096DA1"/>
    <w:rsid w:val="000A4AA8"/>
    <w:rsid w:val="000B14A9"/>
    <w:rsid w:val="000B56B8"/>
    <w:rsid w:val="000B5EE4"/>
    <w:rsid w:val="000C23A6"/>
    <w:rsid w:val="000D169E"/>
    <w:rsid w:val="000E1D56"/>
    <w:rsid w:val="000E2E08"/>
    <w:rsid w:val="000F4258"/>
    <w:rsid w:val="000F6134"/>
    <w:rsid w:val="001005F4"/>
    <w:rsid w:val="0010111A"/>
    <w:rsid w:val="00101AD3"/>
    <w:rsid w:val="0011184B"/>
    <w:rsid w:val="00121D3E"/>
    <w:rsid w:val="00126E46"/>
    <w:rsid w:val="001317F3"/>
    <w:rsid w:val="00131B9D"/>
    <w:rsid w:val="0013244E"/>
    <w:rsid w:val="00132A43"/>
    <w:rsid w:val="0013377E"/>
    <w:rsid w:val="00136038"/>
    <w:rsid w:val="00157C7D"/>
    <w:rsid w:val="0016307A"/>
    <w:rsid w:val="001637DC"/>
    <w:rsid w:val="0017376E"/>
    <w:rsid w:val="0017458A"/>
    <w:rsid w:val="00174C11"/>
    <w:rsid w:val="001806FD"/>
    <w:rsid w:val="001813BF"/>
    <w:rsid w:val="00183F77"/>
    <w:rsid w:val="001933D8"/>
    <w:rsid w:val="001A6343"/>
    <w:rsid w:val="001A6D61"/>
    <w:rsid w:val="001A7900"/>
    <w:rsid w:val="001B20C6"/>
    <w:rsid w:val="001B2F59"/>
    <w:rsid w:val="001C20EE"/>
    <w:rsid w:val="001C54A9"/>
    <w:rsid w:val="001C6E94"/>
    <w:rsid w:val="001D1C66"/>
    <w:rsid w:val="001E2AD1"/>
    <w:rsid w:val="001E58CF"/>
    <w:rsid w:val="001E741A"/>
    <w:rsid w:val="001F0497"/>
    <w:rsid w:val="001F27EA"/>
    <w:rsid w:val="001F297F"/>
    <w:rsid w:val="001F6AA9"/>
    <w:rsid w:val="00201E3D"/>
    <w:rsid w:val="00206B6A"/>
    <w:rsid w:val="00216B01"/>
    <w:rsid w:val="002214F2"/>
    <w:rsid w:val="00227856"/>
    <w:rsid w:val="00234DCD"/>
    <w:rsid w:val="00237499"/>
    <w:rsid w:val="00237ACE"/>
    <w:rsid w:val="00241423"/>
    <w:rsid w:val="002422B9"/>
    <w:rsid w:val="0025014E"/>
    <w:rsid w:val="00250D0E"/>
    <w:rsid w:val="00263833"/>
    <w:rsid w:val="00267C16"/>
    <w:rsid w:val="002816ED"/>
    <w:rsid w:val="002834BC"/>
    <w:rsid w:val="00284D05"/>
    <w:rsid w:val="0028794D"/>
    <w:rsid w:val="002901AB"/>
    <w:rsid w:val="00293E56"/>
    <w:rsid w:val="002940BE"/>
    <w:rsid w:val="002A0C41"/>
    <w:rsid w:val="002B7DFB"/>
    <w:rsid w:val="002C2C14"/>
    <w:rsid w:val="002C7343"/>
    <w:rsid w:val="002C7541"/>
    <w:rsid w:val="002D18C2"/>
    <w:rsid w:val="002D23FF"/>
    <w:rsid w:val="002D4157"/>
    <w:rsid w:val="002D5006"/>
    <w:rsid w:val="002E0F46"/>
    <w:rsid w:val="002E224F"/>
    <w:rsid w:val="002F53B0"/>
    <w:rsid w:val="002F5C11"/>
    <w:rsid w:val="00304FBF"/>
    <w:rsid w:val="0031200A"/>
    <w:rsid w:val="003140F7"/>
    <w:rsid w:val="00315462"/>
    <w:rsid w:val="00315B31"/>
    <w:rsid w:val="0032726E"/>
    <w:rsid w:val="00333EC1"/>
    <w:rsid w:val="003411C7"/>
    <w:rsid w:val="00344975"/>
    <w:rsid w:val="0035638C"/>
    <w:rsid w:val="00365226"/>
    <w:rsid w:val="00371A02"/>
    <w:rsid w:val="00394FA2"/>
    <w:rsid w:val="003966DA"/>
    <w:rsid w:val="003C1469"/>
    <w:rsid w:val="003C4919"/>
    <w:rsid w:val="003D2BD4"/>
    <w:rsid w:val="003F0C35"/>
    <w:rsid w:val="004004FD"/>
    <w:rsid w:val="004064DD"/>
    <w:rsid w:val="00410592"/>
    <w:rsid w:val="00415EDE"/>
    <w:rsid w:val="0042126A"/>
    <w:rsid w:val="004238F1"/>
    <w:rsid w:val="00425071"/>
    <w:rsid w:val="00426896"/>
    <w:rsid w:val="00431A68"/>
    <w:rsid w:val="00433810"/>
    <w:rsid w:val="00437525"/>
    <w:rsid w:val="00441075"/>
    <w:rsid w:val="00447957"/>
    <w:rsid w:val="004505F4"/>
    <w:rsid w:val="0045325F"/>
    <w:rsid w:val="0046341F"/>
    <w:rsid w:val="004734E9"/>
    <w:rsid w:val="00475DF7"/>
    <w:rsid w:val="00483C2E"/>
    <w:rsid w:val="0048644D"/>
    <w:rsid w:val="004903A5"/>
    <w:rsid w:val="0049184A"/>
    <w:rsid w:val="004967A7"/>
    <w:rsid w:val="00497388"/>
    <w:rsid w:val="004B185B"/>
    <w:rsid w:val="004B2DE2"/>
    <w:rsid w:val="004B6CED"/>
    <w:rsid w:val="004C6A99"/>
    <w:rsid w:val="004C6CBE"/>
    <w:rsid w:val="004C7301"/>
    <w:rsid w:val="004E0C7D"/>
    <w:rsid w:val="004E555D"/>
    <w:rsid w:val="004F319C"/>
    <w:rsid w:val="005006FB"/>
    <w:rsid w:val="00500C6B"/>
    <w:rsid w:val="00512984"/>
    <w:rsid w:val="00512C2E"/>
    <w:rsid w:val="005171DE"/>
    <w:rsid w:val="005174D3"/>
    <w:rsid w:val="005217D5"/>
    <w:rsid w:val="00526C12"/>
    <w:rsid w:val="00532A74"/>
    <w:rsid w:val="005418A7"/>
    <w:rsid w:val="005442BE"/>
    <w:rsid w:val="00545B35"/>
    <w:rsid w:val="00547F5D"/>
    <w:rsid w:val="00550756"/>
    <w:rsid w:val="00552E4C"/>
    <w:rsid w:val="00553375"/>
    <w:rsid w:val="00561B51"/>
    <w:rsid w:val="00561D29"/>
    <w:rsid w:val="00562B8C"/>
    <w:rsid w:val="00562E6C"/>
    <w:rsid w:val="00566EC3"/>
    <w:rsid w:val="005725D5"/>
    <w:rsid w:val="0057368F"/>
    <w:rsid w:val="005759E4"/>
    <w:rsid w:val="005766D9"/>
    <w:rsid w:val="00576EFB"/>
    <w:rsid w:val="00586BD2"/>
    <w:rsid w:val="005922E4"/>
    <w:rsid w:val="00595692"/>
    <w:rsid w:val="005A18F7"/>
    <w:rsid w:val="005B2ABC"/>
    <w:rsid w:val="005C03B7"/>
    <w:rsid w:val="005C2CD9"/>
    <w:rsid w:val="005C32CE"/>
    <w:rsid w:val="005C55EF"/>
    <w:rsid w:val="005D0C46"/>
    <w:rsid w:val="005D217E"/>
    <w:rsid w:val="005D4352"/>
    <w:rsid w:val="005D6081"/>
    <w:rsid w:val="005E1BB5"/>
    <w:rsid w:val="005E463B"/>
    <w:rsid w:val="005F7CA7"/>
    <w:rsid w:val="005F7EE0"/>
    <w:rsid w:val="00606172"/>
    <w:rsid w:val="00606DB5"/>
    <w:rsid w:val="00622F88"/>
    <w:rsid w:val="006232F9"/>
    <w:rsid w:val="00627423"/>
    <w:rsid w:val="00630121"/>
    <w:rsid w:val="00632A56"/>
    <w:rsid w:val="0063379F"/>
    <w:rsid w:val="0064136D"/>
    <w:rsid w:val="006529FB"/>
    <w:rsid w:val="00654D6B"/>
    <w:rsid w:val="00660226"/>
    <w:rsid w:val="00662210"/>
    <w:rsid w:val="006670F2"/>
    <w:rsid w:val="0067290C"/>
    <w:rsid w:val="0069409C"/>
    <w:rsid w:val="006961CF"/>
    <w:rsid w:val="006A1779"/>
    <w:rsid w:val="006A325F"/>
    <w:rsid w:val="006B55BA"/>
    <w:rsid w:val="006C578C"/>
    <w:rsid w:val="006C731D"/>
    <w:rsid w:val="006E1058"/>
    <w:rsid w:val="006E167C"/>
    <w:rsid w:val="006E62EA"/>
    <w:rsid w:val="006F02A4"/>
    <w:rsid w:val="006F6D17"/>
    <w:rsid w:val="00702710"/>
    <w:rsid w:val="0070322B"/>
    <w:rsid w:val="00703360"/>
    <w:rsid w:val="00703649"/>
    <w:rsid w:val="007050FF"/>
    <w:rsid w:val="00706E0C"/>
    <w:rsid w:val="007107CA"/>
    <w:rsid w:val="00710E09"/>
    <w:rsid w:val="00714225"/>
    <w:rsid w:val="0071780E"/>
    <w:rsid w:val="00722E96"/>
    <w:rsid w:val="00723588"/>
    <w:rsid w:val="007253AB"/>
    <w:rsid w:val="00741E4E"/>
    <w:rsid w:val="00743956"/>
    <w:rsid w:val="00747C3E"/>
    <w:rsid w:val="00750E76"/>
    <w:rsid w:val="0076116F"/>
    <w:rsid w:val="00762D7F"/>
    <w:rsid w:val="0076319C"/>
    <w:rsid w:val="00766517"/>
    <w:rsid w:val="007665E5"/>
    <w:rsid w:val="00767D93"/>
    <w:rsid w:val="00770E60"/>
    <w:rsid w:val="00772983"/>
    <w:rsid w:val="00781B33"/>
    <w:rsid w:val="00785D9A"/>
    <w:rsid w:val="007863DD"/>
    <w:rsid w:val="007864BF"/>
    <w:rsid w:val="007875D3"/>
    <w:rsid w:val="007910D5"/>
    <w:rsid w:val="00793CB1"/>
    <w:rsid w:val="00794CAA"/>
    <w:rsid w:val="007A280E"/>
    <w:rsid w:val="007B3B1D"/>
    <w:rsid w:val="007C3734"/>
    <w:rsid w:val="007C403D"/>
    <w:rsid w:val="007C44B0"/>
    <w:rsid w:val="007C7B17"/>
    <w:rsid w:val="007D68F1"/>
    <w:rsid w:val="007E078F"/>
    <w:rsid w:val="007E0AC4"/>
    <w:rsid w:val="007E0E6F"/>
    <w:rsid w:val="007F0B0B"/>
    <w:rsid w:val="00801D55"/>
    <w:rsid w:val="00802A6E"/>
    <w:rsid w:val="00804C39"/>
    <w:rsid w:val="00805E8F"/>
    <w:rsid w:val="00807FA6"/>
    <w:rsid w:val="008107C0"/>
    <w:rsid w:val="008178C0"/>
    <w:rsid w:val="00817FEF"/>
    <w:rsid w:val="00820F38"/>
    <w:rsid w:val="00821804"/>
    <w:rsid w:val="008418B6"/>
    <w:rsid w:val="00842765"/>
    <w:rsid w:val="0085225D"/>
    <w:rsid w:val="00860BA9"/>
    <w:rsid w:val="00864094"/>
    <w:rsid w:val="0087152C"/>
    <w:rsid w:val="00872EC8"/>
    <w:rsid w:val="0087736B"/>
    <w:rsid w:val="00881C1D"/>
    <w:rsid w:val="00885C42"/>
    <w:rsid w:val="008871A9"/>
    <w:rsid w:val="00890979"/>
    <w:rsid w:val="00890A06"/>
    <w:rsid w:val="00897C4E"/>
    <w:rsid w:val="008A093B"/>
    <w:rsid w:val="008A1265"/>
    <w:rsid w:val="008A4756"/>
    <w:rsid w:val="008B638A"/>
    <w:rsid w:val="008B7B8A"/>
    <w:rsid w:val="008C17EE"/>
    <w:rsid w:val="008C1CEF"/>
    <w:rsid w:val="008C1E90"/>
    <w:rsid w:val="008E5BB4"/>
    <w:rsid w:val="008F30AA"/>
    <w:rsid w:val="008F4816"/>
    <w:rsid w:val="0090415A"/>
    <w:rsid w:val="009042CA"/>
    <w:rsid w:val="00917459"/>
    <w:rsid w:val="009174E9"/>
    <w:rsid w:val="00922678"/>
    <w:rsid w:val="00922F78"/>
    <w:rsid w:val="00923485"/>
    <w:rsid w:val="00925968"/>
    <w:rsid w:val="0092665C"/>
    <w:rsid w:val="0093015D"/>
    <w:rsid w:val="00934414"/>
    <w:rsid w:val="009347C3"/>
    <w:rsid w:val="0094025F"/>
    <w:rsid w:val="009519A4"/>
    <w:rsid w:val="0095501F"/>
    <w:rsid w:val="00961AA1"/>
    <w:rsid w:val="00964E81"/>
    <w:rsid w:val="00967A2A"/>
    <w:rsid w:val="009748D6"/>
    <w:rsid w:val="009800F6"/>
    <w:rsid w:val="009851A2"/>
    <w:rsid w:val="009906FE"/>
    <w:rsid w:val="00992411"/>
    <w:rsid w:val="009A163E"/>
    <w:rsid w:val="009A25C4"/>
    <w:rsid w:val="009A3DF8"/>
    <w:rsid w:val="009B46D7"/>
    <w:rsid w:val="009B4A12"/>
    <w:rsid w:val="009C74E5"/>
    <w:rsid w:val="009D0783"/>
    <w:rsid w:val="009D7986"/>
    <w:rsid w:val="009F2A77"/>
    <w:rsid w:val="009F4009"/>
    <w:rsid w:val="009F7E5A"/>
    <w:rsid w:val="00A03012"/>
    <w:rsid w:val="00A12AB3"/>
    <w:rsid w:val="00A14F63"/>
    <w:rsid w:val="00A16D16"/>
    <w:rsid w:val="00A22365"/>
    <w:rsid w:val="00A26267"/>
    <w:rsid w:val="00A270C3"/>
    <w:rsid w:val="00A30AAB"/>
    <w:rsid w:val="00A31DEC"/>
    <w:rsid w:val="00A40CCB"/>
    <w:rsid w:val="00A47303"/>
    <w:rsid w:val="00A5236A"/>
    <w:rsid w:val="00A551E0"/>
    <w:rsid w:val="00A642C7"/>
    <w:rsid w:val="00A80BBF"/>
    <w:rsid w:val="00A85BA0"/>
    <w:rsid w:val="00A85D0C"/>
    <w:rsid w:val="00A912C4"/>
    <w:rsid w:val="00A969F7"/>
    <w:rsid w:val="00AA2048"/>
    <w:rsid w:val="00AC36F9"/>
    <w:rsid w:val="00AC73A2"/>
    <w:rsid w:val="00AD0B74"/>
    <w:rsid w:val="00AD1C8F"/>
    <w:rsid w:val="00AD25B5"/>
    <w:rsid w:val="00AD2EB2"/>
    <w:rsid w:val="00AD4E5B"/>
    <w:rsid w:val="00AD56E0"/>
    <w:rsid w:val="00AD6043"/>
    <w:rsid w:val="00AE0FC9"/>
    <w:rsid w:val="00AF23C8"/>
    <w:rsid w:val="00B00698"/>
    <w:rsid w:val="00B01D7C"/>
    <w:rsid w:val="00B103F9"/>
    <w:rsid w:val="00B10D97"/>
    <w:rsid w:val="00B11F67"/>
    <w:rsid w:val="00B13AEF"/>
    <w:rsid w:val="00B14215"/>
    <w:rsid w:val="00B15C5E"/>
    <w:rsid w:val="00B16785"/>
    <w:rsid w:val="00B2131D"/>
    <w:rsid w:val="00B24932"/>
    <w:rsid w:val="00B2734F"/>
    <w:rsid w:val="00B345EA"/>
    <w:rsid w:val="00B359D1"/>
    <w:rsid w:val="00B43F53"/>
    <w:rsid w:val="00B522B8"/>
    <w:rsid w:val="00B54E5A"/>
    <w:rsid w:val="00B64623"/>
    <w:rsid w:val="00B7011C"/>
    <w:rsid w:val="00B751D8"/>
    <w:rsid w:val="00B76AEE"/>
    <w:rsid w:val="00B82A0A"/>
    <w:rsid w:val="00B82F4C"/>
    <w:rsid w:val="00B8668B"/>
    <w:rsid w:val="00B97A66"/>
    <w:rsid w:val="00BA5745"/>
    <w:rsid w:val="00BA7F49"/>
    <w:rsid w:val="00BB2D63"/>
    <w:rsid w:val="00BB4123"/>
    <w:rsid w:val="00BC1EFB"/>
    <w:rsid w:val="00BC3816"/>
    <w:rsid w:val="00BC3EAF"/>
    <w:rsid w:val="00BD0886"/>
    <w:rsid w:val="00BD6130"/>
    <w:rsid w:val="00BE07DB"/>
    <w:rsid w:val="00BE1984"/>
    <w:rsid w:val="00BE2C5C"/>
    <w:rsid w:val="00BF0D9E"/>
    <w:rsid w:val="00BF3698"/>
    <w:rsid w:val="00C04A52"/>
    <w:rsid w:val="00C04B1A"/>
    <w:rsid w:val="00C06971"/>
    <w:rsid w:val="00C100DD"/>
    <w:rsid w:val="00C1212F"/>
    <w:rsid w:val="00C3294F"/>
    <w:rsid w:val="00C449CD"/>
    <w:rsid w:val="00C45C30"/>
    <w:rsid w:val="00C47844"/>
    <w:rsid w:val="00C503E2"/>
    <w:rsid w:val="00C506BE"/>
    <w:rsid w:val="00C573D8"/>
    <w:rsid w:val="00C60BBC"/>
    <w:rsid w:val="00C6295E"/>
    <w:rsid w:val="00C702B5"/>
    <w:rsid w:val="00C95850"/>
    <w:rsid w:val="00CA1836"/>
    <w:rsid w:val="00CA2271"/>
    <w:rsid w:val="00CA274F"/>
    <w:rsid w:val="00CA6973"/>
    <w:rsid w:val="00CB2BDA"/>
    <w:rsid w:val="00CB33B6"/>
    <w:rsid w:val="00CB40CE"/>
    <w:rsid w:val="00CC1ED7"/>
    <w:rsid w:val="00CC7BFA"/>
    <w:rsid w:val="00CD081B"/>
    <w:rsid w:val="00CD7691"/>
    <w:rsid w:val="00CF3189"/>
    <w:rsid w:val="00CF6B40"/>
    <w:rsid w:val="00CF6E1E"/>
    <w:rsid w:val="00D05FF4"/>
    <w:rsid w:val="00D11004"/>
    <w:rsid w:val="00D12AFB"/>
    <w:rsid w:val="00D144F1"/>
    <w:rsid w:val="00D16F4E"/>
    <w:rsid w:val="00D25014"/>
    <w:rsid w:val="00D25BE8"/>
    <w:rsid w:val="00D26804"/>
    <w:rsid w:val="00D3082E"/>
    <w:rsid w:val="00D35ED4"/>
    <w:rsid w:val="00D4648D"/>
    <w:rsid w:val="00D46AA7"/>
    <w:rsid w:val="00D544A6"/>
    <w:rsid w:val="00D56924"/>
    <w:rsid w:val="00D60D01"/>
    <w:rsid w:val="00D64A80"/>
    <w:rsid w:val="00D64CFF"/>
    <w:rsid w:val="00D65D38"/>
    <w:rsid w:val="00D7156B"/>
    <w:rsid w:val="00D7357A"/>
    <w:rsid w:val="00D7383B"/>
    <w:rsid w:val="00D73901"/>
    <w:rsid w:val="00D77FB0"/>
    <w:rsid w:val="00D83DC4"/>
    <w:rsid w:val="00D86041"/>
    <w:rsid w:val="00D8749B"/>
    <w:rsid w:val="00D95194"/>
    <w:rsid w:val="00DA0D8F"/>
    <w:rsid w:val="00DA1A62"/>
    <w:rsid w:val="00DA27DF"/>
    <w:rsid w:val="00DB023A"/>
    <w:rsid w:val="00DB3FE7"/>
    <w:rsid w:val="00DB4F09"/>
    <w:rsid w:val="00DC4F83"/>
    <w:rsid w:val="00DC55A5"/>
    <w:rsid w:val="00DC7A46"/>
    <w:rsid w:val="00DD551A"/>
    <w:rsid w:val="00DD7D51"/>
    <w:rsid w:val="00DE1354"/>
    <w:rsid w:val="00DE747A"/>
    <w:rsid w:val="00DF3554"/>
    <w:rsid w:val="00DF41E8"/>
    <w:rsid w:val="00E00D1E"/>
    <w:rsid w:val="00E044D2"/>
    <w:rsid w:val="00E04782"/>
    <w:rsid w:val="00E073E2"/>
    <w:rsid w:val="00E10088"/>
    <w:rsid w:val="00E14820"/>
    <w:rsid w:val="00E1608F"/>
    <w:rsid w:val="00E35BBC"/>
    <w:rsid w:val="00E620F6"/>
    <w:rsid w:val="00E65A82"/>
    <w:rsid w:val="00E83035"/>
    <w:rsid w:val="00E84229"/>
    <w:rsid w:val="00E84515"/>
    <w:rsid w:val="00E85A99"/>
    <w:rsid w:val="00E87544"/>
    <w:rsid w:val="00E91E1E"/>
    <w:rsid w:val="00E9259A"/>
    <w:rsid w:val="00E954B8"/>
    <w:rsid w:val="00E97B7F"/>
    <w:rsid w:val="00EA18F8"/>
    <w:rsid w:val="00EA2403"/>
    <w:rsid w:val="00EA6683"/>
    <w:rsid w:val="00EB1851"/>
    <w:rsid w:val="00EB46E0"/>
    <w:rsid w:val="00EB5A18"/>
    <w:rsid w:val="00EC1242"/>
    <w:rsid w:val="00EC4381"/>
    <w:rsid w:val="00ED37BA"/>
    <w:rsid w:val="00EE6BCD"/>
    <w:rsid w:val="00EF368E"/>
    <w:rsid w:val="00EF42F9"/>
    <w:rsid w:val="00F00DEB"/>
    <w:rsid w:val="00F115E0"/>
    <w:rsid w:val="00F21C01"/>
    <w:rsid w:val="00F264F5"/>
    <w:rsid w:val="00F35CA3"/>
    <w:rsid w:val="00F41F30"/>
    <w:rsid w:val="00F438D2"/>
    <w:rsid w:val="00F57D87"/>
    <w:rsid w:val="00F668A2"/>
    <w:rsid w:val="00F7201A"/>
    <w:rsid w:val="00F82FE7"/>
    <w:rsid w:val="00F94E4B"/>
    <w:rsid w:val="00FA5B1E"/>
    <w:rsid w:val="00FA61E6"/>
    <w:rsid w:val="00FA6433"/>
    <w:rsid w:val="00FB16D4"/>
    <w:rsid w:val="00FB22D5"/>
    <w:rsid w:val="00FC22B6"/>
    <w:rsid w:val="00FC593A"/>
    <w:rsid w:val="00FD4C6E"/>
    <w:rsid w:val="00FD7133"/>
    <w:rsid w:val="00FF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4D5D4"/>
  <w15:chartTrackingRefBased/>
  <w15:docId w15:val="{29CE7B39-43E8-402E-AC1C-2C977256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DA1"/>
    <w:rPr>
      <w:sz w:val="24"/>
      <w:szCs w:val="24"/>
    </w:rPr>
  </w:style>
  <w:style w:type="paragraph" w:styleId="Heading1">
    <w:name w:val="heading 1"/>
    <w:basedOn w:val="Normal"/>
    <w:next w:val="Normal"/>
    <w:qFormat/>
    <w:rsid w:val="00AD2EB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22E9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eature-ParagraphChar">
    <w:name w:val="Feature - Paragraph Char"/>
    <w:link w:val="Feature-Paragraph"/>
    <w:locked/>
    <w:rsid w:val="00722E96"/>
    <w:rPr>
      <w:rFonts w:ascii="Arial" w:hAnsi="Arial" w:cs="Arial"/>
      <w:sz w:val="24"/>
      <w:szCs w:val="24"/>
      <w:lang w:val="en-US" w:eastAsia="en-US" w:bidi="ar-SA"/>
    </w:rPr>
  </w:style>
  <w:style w:type="paragraph" w:customStyle="1" w:styleId="Feature-Paragraph">
    <w:name w:val="Feature - Paragraph"/>
    <w:basedOn w:val="Normal"/>
    <w:link w:val="Feature-ParagraphChar"/>
    <w:rsid w:val="00722E96"/>
    <w:pPr>
      <w:numPr>
        <w:numId w:val="1"/>
      </w:numPr>
    </w:pPr>
    <w:rPr>
      <w:rFonts w:ascii="Arial" w:hAnsi="Arial" w:cs="Arial"/>
    </w:rPr>
  </w:style>
  <w:style w:type="character" w:customStyle="1" w:styleId="Feature-TitleCharChar">
    <w:name w:val="Feature - Title Char Char"/>
    <w:link w:val="Feature-Title"/>
    <w:locked/>
    <w:rsid w:val="00722E96"/>
    <w:rPr>
      <w:rFonts w:ascii="Arial" w:hAnsi="Arial" w:cs="Arial"/>
      <w:b/>
      <w:bCs/>
      <w:sz w:val="40"/>
      <w:szCs w:val="24"/>
      <w:u w:val="single"/>
      <w:lang w:val="en-US" w:eastAsia="en-US" w:bidi="ar-SA"/>
    </w:rPr>
  </w:style>
  <w:style w:type="paragraph" w:customStyle="1" w:styleId="Feature-Title">
    <w:name w:val="Feature - Title"/>
    <w:basedOn w:val="Normal"/>
    <w:link w:val="Feature-TitleCharChar"/>
    <w:rsid w:val="00722E96"/>
    <w:pPr>
      <w:jc w:val="center"/>
    </w:pPr>
    <w:rPr>
      <w:rFonts w:ascii="Arial" w:hAnsi="Arial" w:cs="Arial"/>
      <w:b/>
      <w:bCs/>
      <w:sz w:val="40"/>
      <w:u w:val="single"/>
    </w:rPr>
  </w:style>
  <w:style w:type="paragraph" w:customStyle="1" w:styleId="Feature-Header">
    <w:name w:val="Feature - Header"/>
    <w:basedOn w:val="Heading2"/>
    <w:rsid w:val="00722E96"/>
  </w:style>
  <w:style w:type="paragraph" w:styleId="Footer">
    <w:name w:val="footer"/>
    <w:basedOn w:val="Normal"/>
    <w:rsid w:val="00C503E2"/>
    <w:pPr>
      <w:tabs>
        <w:tab w:val="center" w:pos="4320"/>
        <w:tab w:val="right" w:pos="8640"/>
      </w:tabs>
    </w:pPr>
  </w:style>
  <w:style w:type="character" w:styleId="PageNumber">
    <w:name w:val="page number"/>
    <w:basedOn w:val="DefaultParagraphFont"/>
    <w:rsid w:val="00C503E2"/>
  </w:style>
  <w:style w:type="paragraph" w:styleId="Header">
    <w:name w:val="header"/>
    <w:basedOn w:val="Normal"/>
    <w:rsid w:val="00C503E2"/>
    <w:pPr>
      <w:tabs>
        <w:tab w:val="center" w:pos="4320"/>
        <w:tab w:val="right" w:pos="8640"/>
      </w:tabs>
    </w:pPr>
  </w:style>
  <w:style w:type="paragraph" w:styleId="BalloonText">
    <w:name w:val="Balloon Text"/>
    <w:basedOn w:val="Normal"/>
    <w:semiHidden/>
    <w:rsid w:val="00A912C4"/>
    <w:rPr>
      <w:rFonts w:ascii="Tahoma" w:hAnsi="Tahoma" w:cs="Tahoma"/>
      <w:sz w:val="16"/>
      <w:szCs w:val="16"/>
    </w:rPr>
  </w:style>
  <w:style w:type="character" w:styleId="CommentReference">
    <w:name w:val="annotation reference"/>
    <w:semiHidden/>
    <w:rsid w:val="00AD0B74"/>
    <w:rPr>
      <w:sz w:val="16"/>
      <w:szCs w:val="16"/>
    </w:rPr>
  </w:style>
  <w:style w:type="paragraph" w:styleId="CommentText">
    <w:name w:val="annotation text"/>
    <w:basedOn w:val="Normal"/>
    <w:semiHidden/>
    <w:rsid w:val="00AD0B74"/>
    <w:rPr>
      <w:sz w:val="20"/>
      <w:szCs w:val="20"/>
    </w:rPr>
  </w:style>
  <w:style w:type="paragraph" w:styleId="CommentSubject">
    <w:name w:val="annotation subject"/>
    <w:basedOn w:val="CommentText"/>
    <w:next w:val="CommentText"/>
    <w:semiHidden/>
    <w:rsid w:val="00AD0B74"/>
    <w:rPr>
      <w:b/>
      <w:bCs/>
    </w:rPr>
  </w:style>
  <w:style w:type="table" w:styleId="TableGrid">
    <w:name w:val="Table Grid"/>
    <w:basedOn w:val="TableNormal"/>
    <w:rsid w:val="00703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C593A"/>
    <w:rPr>
      <w:color w:val="0000FF"/>
      <w:u w:val="single"/>
    </w:rPr>
  </w:style>
  <w:style w:type="paragraph" w:styleId="PlainText">
    <w:name w:val="Plain Text"/>
    <w:basedOn w:val="Normal"/>
    <w:link w:val="PlainTextChar"/>
    <w:uiPriority w:val="99"/>
    <w:unhideWhenUsed/>
    <w:rsid w:val="00415EDE"/>
    <w:rPr>
      <w:rFonts w:ascii="Consolas" w:eastAsia="Calibri" w:hAnsi="Consolas"/>
      <w:sz w:val="21"/>
      <w:szCs w:val="21"/>
    </w:rPr>
  </w:style>
  <w:style w:type="character" w:customStyle="1" w:styleId="PlainTextChar">
    <w:name w:val="Plain Text Char"/>
    <w:link w:val="PlainText"/>
    <w:uiPriority w:val="99"/>
    <w:rsid w:val="00415EDE"/>
    <w:rPr>
      <w:rFonts w:ascii="Consolas" w:eastAsia="Calibri" w:hAnsi="Consolas" w:cs="Times New Roman"/>
      <w:sz w:val="21"/>
      <w:szCs w:val="21"/>
    </w:rPr>
  </w:style>
  <w:style w:type="paragraph" w:styleId="Revision">
    <w:name w:val="Revision"/>
    <w:hidden/>
    <w:uiPriority w:val="99"/>
    <w:semiHidden/>
    <w:rsid w:val="009A3DF8"/>
    <w:rPr>
      <w:sz w:val="24"/>
      <w:szCs w:val="24"/>
    </w:rPr>
  </w:style>
  <w:style w:type="paragraph" w:styleId="ListParagraph">
    <w:name w:val="List Paragraph"/>
    <w:basedOn w:val="Normal"/>
    <w:uiPriority w:val="34"/>
    <w:qFormat/>
    <w:rsid w:val="002F5C11"/>
    <w:pPr>
      <w:ind w:left="720"/>
    </w:pPr>
  </w:style>
  <w:style w:type="character" w:styleId="FollowedHyperlink">
    <w:name w:val="FollowedHyperlink"/>
    <w:basedOn w:val="DefaultParagraphFont"/>
    <w:rsid w:val="006A17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6393">
      <w:bodyDiv w:val="1"/>
      <w:marLeft w:val="0"/>
      <w:marRight w:val="0"/>
      <w:marTop w:val="0"/>
      <w:marBottom w:val="0"/>
      <w:divBdr>
        <w:top w:val="none" w:sz="0" w:space="0" w:color="auto"/>
        <w:left w:val="none" w:sz="0" w:space="0" w:color="auto"/>
        <w:bottom w:val="none" w:sz="0" w:space="0" w:color="auto"/>
        <w:right w:val="none" w:sz="0" w:space="0" w:color="auto"/>
      </w:divBdr>
    </w:div>
    <w:div w:id="341592593">
      <w:bodyDiv w:val="1"/>
      <w:marLeft w:val="0"/>
      <w:marRight w:val="0"/>
      <w:marTop w:val="0"/>
      <w:marBottom w:val="0"/>
      <w:divBdr>
        <w:top w:val="none" w:sz="0" w:space="0" w:color="auto"/>
        <w:left w:val="none" w:sz="0" w:space="0" w:color="auto"/>
        <w:bottom w:val="none" w:sz="0" w:space="0" w:color="auto"/>
        <w:right w:val="none" w:sz="0" w:space="0" w:color="auto"/>
      </w:divBdr>
    </w:div>
    <w:div w:id="654265224">
      <w:bodyDiv w:val="1"/>
      <w:marLeft w:val="0"/>
      <w:marRight w:val="0"/>
      <w:marTop w:val="0"/>
      <w:marBottom w:val="0"/>
      <w:divBdr>
        <w:top w:val="none" w:sz="0" w:space="0" w:color="auto"/>
        <w:left w:val="none" w:sz="0" w:space="0" w:color="auto"/>
        <w:bottom w:val="none" w:sz="0" w:space="0" w:color="auto"/>
        <w:right w:val="none" w:sz="0" w:space="0" w:color="auto"/>
      </w:divBdr>
    </w:div>
    <w:div w:id="881091140">
      <w:bodyDiv w:val="1"/>
      <w:marLeft w:val="0"/>
      <w:marRight w:val="0"/>
      <w:marTop w:val="0"/>
      <w:marBottom w:val="0"/>
      <w:divBdr>
        <w:top w:val="none" w:sz="0" w:space="0" w:color="auto"/>
        <w:left w:val="none" w:sz="0" w:space="0" w:color="auto"/>
        <w:bottom w:val="none" w:sz="0" w:space="0" w:color="auto"/>
        <w:right w:val="none" w:sz="0" w:space="0" w:color="auto"/>
      </w:divBdr>
    </w:div>
    <w:div w:id="1058018702">
      <w:bodyDiv w:val="1"/>
      <w:marLeft w:val="0"/>
      <w:marRight w:val="0"/>
      <w:marTop w:val="0"/>
      <w:marBottom w:val="0"/>
      <w:divBdr>
        <w:top w:val="none" w:sz="0" w:space="0" w:color="auto"/>
        <w:left w:val="none" w:sz="0" w:space="0" w:color="auto"/>
        <w:bottom w:val="none" w:sz="0" w:space="0" w:color="auto"/>
        <w:right w:val="none" w:sz="0" w:space="0" w:color="auto"/>
      </w:divBdr>
    </w:div>
    <w:div w:id="1059477532">
      <w:bodyDiv w:val="1"/>
      <w:marLeft w:val="0"/>
      <w:marRight w:val="0"/>
      <w:marTop w:val="0"/>
      <w:marBottom w:val="0"/>
      <w:divBdr>
        <w:top w:val="none" w:sz="0" w:space="0" w:color="auto"/>
        <w:left w:val="none" w:sz="0" w:space="0" w:color="auto"/>
        <w:bottom w:val="none" w:sz="0" w:space="0" w:color="auto"/>
        <w:right w:val="none" w:sz="0" w:space="0" w:color="auto"/>
      </w:divBdr>
    </w:div>
    <w:div w:id="11187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dsoco.ogc.osd.mil/ETHICS-TOPICS/Conflicts-of-Inter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D6653-B5F1-4EB1-94BB-1D2158E3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1846</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Supplemental Actions</vt:lpstr>
    </vt:vector>
  </TitlesOfParts>
  <Company>US Army, CECOM</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Actions</dc:title>
  <dc:subject/>
  <dc:creator>staff</dc:creator>
  <cp:keywords/>
  <cp:lastModifiedBy>IRVINE KOBYLSKI, Danica S (Dani) CIV OSD OGC (USA)</cp:lastModifiedBy>
  <cp:revision>2</cp:revision>
  <cp:lastPrinted>2008-05-19T21:25:00Z</cp:lastPrinted>
  <dcterms:created xsi:type="dcterms:W3CDTF">2024-01-09T19:53:00Z</dcterms:created>
  <dcterms:modified xsi:type="dcterms:W3CDTF">2024-01-09T19:53:00Z</dcterms:modified>
</cp:coreProperties>
</file>